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20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WILLIAM HUMBERTO GONZALEZ REYES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0 0 0 0  0  0  0  0  CARRERA 7 # 40B - 82</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AGUAZUL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2025003411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2025003411 de fecha Diciembre 20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