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rial" w:ascii="Arial" w:hAnsi="Arial"/>
        </w:rPr>
        <w:t>Yopal, 09 de diciembre de 2023.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PARA: </w:t>
        <w:tab/>
        <w:t>Rafael Alberto Aranguren Rodríguez, Director Técnico de Tesorería.</w:t>
      </w:r>
    </w:p>
    <w:p>
      <w:pPr>
        <w:pStyle w:val="Normal"/>
        <w:rPr>
          <w:rFonts w:ascii="Arial" w:hAnsi="Arial" w:cs="Arial"/>
          <w:color w:val="D9D9D9"/>
        </w:rPr>
      </w:pPr>
      <w:r>
        <w:rPr>
          <w:rFonts w:cs="Arial" w:ascii="Arial" w:hAnsi="Arial"/>
          <w:color w:val="D9D9D9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DE: </w:t>
        <w:tab/>
        <w:tab/>
        <w:t>Director Técnico de Cobro Coactivo.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ASUNTO: </w:t>
        <w:tab/>
        <w:t>Fraccionamiento de T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ítulo Depósito Judicial</w:t>
      </w:r>
      <w:r>
        <w:rPr>
          <w:rFonts w:cs="Arial" w:ascii="Arial" w:hAnsi="Arial"/>
          <w:color w:val="030405"/>
        </w:rPr>
        <w:t>.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  <w:t>Cordial saludo,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30405"/>
        </w:rPr>
        <w:t>La Dirección de Cobro Coactivo mediante auto No. 20231209 de fecha 09 de diciembre de 2023, aprobó la liquidación del crédito dentro del proceso de cobro coactivo No. 420 40-15-7070, adelantado en contra del señor CLAUDIA YAZMIN LOZANO BRIÑEZ identificado con cédula de ciudadanía No. 40421954, de la siguiente manera:</w:t>
      </w:r>
    </w:p>
    <w:p>
      <w:pPr>
        <w:pStyle w:val="Normal"/>
        <w:jc w:val="both"/>
        <w:rPr/>
      </w:pPr>
      <w:r>
        <w:rPr/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93"/>
        <w:gridCol w:w="1247"/>
        <w:gridCol w:w="1358"/>
        <w:gridCol w:w="1263"/>
        <w:gridCol w:w="1436"/>
        <w:gridCol w:w="1595"/>
      </w:tblGrid>
      <w:tr>
        <w:trPr>
          <w:trHeight w:val="293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Año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Avaluó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Impuesto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Sanci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ón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Inter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és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Dcto X Matr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ícula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Valor Total 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$3.463.000,00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$52.000,00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$366.500,00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$611.500,00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$2.270.000,00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$34.000,00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$225.200,00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$452.200,00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$2.000.000,00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$30.000,00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$173.100,00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$396.100,00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$1.700.000,00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$26.000,00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$138.900,00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$357.900,00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$1.600.000,00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$24.000,00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$118.000,00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$335.000,00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$1.490.000,00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$22.000,00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$98.000,00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$313.000,00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$1.100.000,00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$17.000,00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$68.500,00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$278.500,00</w:t>
            </w:r>
          </w:p>
        </w:tc>
      </w:tr>
      <w:tr>
        <w:trPr>
          <w:trHeight w:val="293" w:hRule="atLeast"/>
        </w:trPr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shd w:fill="auto" w:val="clear"/>
                <w:lang w:val="es-CO" w:eastAsia="es-CO"/>
              </w:rPr>
              <w:t>$205.000,00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$1.351.000,00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$1.188.200,00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$2.744.200,00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color w:val="030405"/>
        </w:rPr>
        <w:t>Conforme lo dispone el artículo 677 del Estatuto Tributario Departamental; es procedente disponer del dinero embargado, razón por la cual solicito a usted aplicar el título de depósito judicial No 202300000154, de la siguiente forma:</w:t>
      </w:r>
      <w:r>
        <w:rPr>
          <w:rFonts w:eastAsia="Arial" w:cs="Arial" w:ascii="Arial" w:hAnsi="Arial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"/>
        <w:gridCol w:w="2352"/>
        <w:gridCol w:w="2242"/>
        <w:gridCol w:w="2226"/>
      </w:tblGrid>
      <w:tr>
        <w:trPr>
          <w:trHeight w:val="780" w:hRule="atLeast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 xml:space="preserve">Título 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>Depósito</w:t>
            </w:r>
            <w:r>
              <w:rPr>
                <w:rFonts w:cs="Arial" w:ascii="Arial" w:hAnsi="Arial"/>
                <w:b/>
                <w:color w:val="030405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30405"/>
                <w:sz w:val="20"/>
                <w:szCs w:val="20"/>
              </w:rPr>
              <w:t xml:space="preserve">Judicial 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>Valor Total Título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>Valor a favor de la Gobernación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 xml:space="preserve">Valor a favor de  </w:t>
            </w:r>
            <w:r>
              <w:rPr>
                <w:rFonts w:eastAsia="Arial" w:cs="Arial" w:ascii="Arial" w:hAnsi="Arial"/>
                <w:color w:val="030405"/>
                <w:sz w:val="20"/>
                <w:szCs w:val="20"/>
              </w:rPr>
              <w:t>CLAUDIA YAZMIN LOZANO BRIÑEZ</w:t>
            </w:r>
          </w:p>
        </w:tc>
      </w:tr>
      <w:tr>
        <w:trPr/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30405"/>
                <w:sz w:val="16"/>
                <w:szCs w:val="16"/>
              </w:rPr>
              <w:t>202300000154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$16.000.000,00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$2.744.200,00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$13.255.800,00</w:t>
            </w:r>
          </w:p>
        </w:tc>
      </w:tr>
      <w:tr>
        <w:trPr/>
        <w:tc>
          <w:tcPr>
            <w:tcW w:w="19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20"/>
                <w:szCs w:val="20"/>
              </w:rPr>
              <w:t>Total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eastAsia="Times New Roman" w:cs="Arial"/>
                <w:b/>
                <w:b/>
                <w:bCs/>
                <w:color w:val="030405"/>
                <w:kern w:val="0"/>
                <w:sz w:val="16"/>
                <w:szCs w:val="16"/>
                <w:lang w:val="es-MX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30405"/>
                <w:kern w:val="0"/>
                <w:sz w:val="16"/>
                <w:szCs w:val="16"/>
                <w:lang w:val="es-MX" w:eastAsia="zh-CN" w:bidi="ar-SA"/>
              </w:rPr>
              <w:t>$16.000.000,00</w:t>
            </w: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16"/>
                <w:szCs w:val="16"/>
              </w:rPr>
              <w:t>$2.744.200,00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16"/>
                <w:szCs w:val="16"/>
              </w:rPr>
              <w:t>$13.255.800,00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</w:rPr>
        <w:t>La suma de dinero embargado que se solicita aplicar a favor de la Gobernación de Casanare, corresponde a impuestos, sanciones e intereses moratorios de las vigencias 2007, 2008, 2010, 2011, 2012, 2013, 2014 por el no pago del impuesto sobre vehículo automotor marca AMC, modelo 2006, placa VPV27A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Cabe aclarar que la anterior liquidación se realiza con base en las declaraciones  generadas por el área de liquidación oficial, las cuales son anexadas al presente documento.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Es necesario resaltar que para efectos del 20% del impuesto sobre vehículos automotores, el contribuyente registra como domicilio el municipio de YOPAL, CASANARE.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De acuerdo con lo anterior, le agradezco se informe a este Despacho una vez se haya consignado el saldo a favor en su respectiva cuenta a nombre de la Gobernación de Casanare.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highlight w:val="none"/>
          <w:shd w:fill="FFFF00" w:val="clear"/>
        </w:rPr>
      </w:pPr>
      <w:r>
        <w:rPr>
          <w:rFonts w:cs="Arial" w:ascii="Arial" w:hAnsi="Arial"/>
          <w:shd w:fill="FFFF00" w:val="clear"/>
        </w:rPr>
        <w:t>Así mismo, le informo que el saldo a favor del contribuyente no debe ser devuelto, teniendo en cuenta que se ordenar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val="es-MX" w:bidi="ar-SA"/>
        </w:rPr>
        <w:t>á la retención del dinero que se encuentra en depósito judicial para el efecto de aplicarse en pago de otras vigencias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Cordialmente,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NESTOR JOSÉ RINCÓN CONTRERAS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Proyectó: JAIR ALEXANDER RIAÑO CASTAÑEDA</w:t>
      </w:r>
    </w:p>
    <w:p>
      <w:pPr>
        <w:pStyle w:val="Normal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 xml:space="preserve">Profesional Universitario </w:t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Anexos:  las declaraciones se imprimen cuando la persona encargada de los titulos las solicite.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284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  <w:tab/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snapToGrid w:val="false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36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688"/>
    </w:tblGrid>
    <w:tr>
      <w:trPr>
        <w:trHeight w:val="74" w:hRule="atLeast"/>
      </w:trPr>
      <w:tc>
        <w:tcPr>
          <w:tcW w:w="3688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7" t="-135" r="-187" b="-1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31" w:hRule="atLeast"/>
      </w:trPr>
      <w:tc>
        <w:tcPr>
          <w:tcW w:w="3688" w:type="dxa"/>
          <w:tcBorders/>
        </w:tcPr>
        <w:p>
          <w:pPr>
            <w:pStyle w:val="Normal"/>
            <w:widowControl w:val="false"/>
            <w:snapToGrid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MEMORANDO No. 0001</w:t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character" w:styleId="WW8Num1z0">
    <w:name w:val="WW8Num1z0"/>
    <w:qFormat/>
    <w:rPr>
      <w:rFonts w:ascii="Calibri" w:hAnsi="Calibri" w:eastAsia="Calibri" w:cs="Calibri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b/>
    </w:rPr>
  </w:style>
  <w:style w:type="character" w:styleId="WW8Num6z1">
    <w:name w:val="WW8Num6z1"/>
    <w:qFormat/>
    <w:rPr/>
  </w:style>
  <w:style w:type="character" w:styleId="WW8Num7z0">
    <w:name w:val="WW8Num7z0"/>
    <w:qFormat/>
    <w:rPr>
      <w:rFonts w:ascii="Arial" w:hAnsi="Arial" w:eastAsia="Times New Roman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>
      <w:rFonts w:ascii="Arial" w:hAnsi="Arial" w:eastAsia="Times New Roman" w:cs="Aria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eastAsia="Times New Roman" w:cs="Aria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eastAsia="Times New Roman" w:cs="Aria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sz w:val="24"/>
      <w:szCs w:val="24"/>
      <w:lang w:val="es-MX"/>
    </w:rPr>
  </w:style>
  <w:style w:type="character" w:styleId="PiedepginaCar">
    <w:name w:val="Pie de página Car"/>
    <w:qFormat/>
    <w:rPr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Eacep1">
    <w:name w:val="eacep1"/>
    <w:qFormat/>
    <w:rPr>
      <w:color w:val="000000"/>
    </w:rPr>
  </w:style>
  <w:style w:type="character" w:styleId="FootnoteCharacters">
    <w:name w:val="Footnote Characters"/>
    <w:qFormat/>
    <w:rPr>
      <w:vertAlign w:val="superscript"/>
    </w:rPr>
  </w:style>
  <w:style w:type="character" w:styleId="TextodegloboCar">
    <w:name w:val="Texto de globo Car"/>
    <w:qFormat/>
    <w:rPr>
      <w:rFonts w:ascii="Tahoma" w:hAnsi="Tahoma" w:cs="Tahoma"/>
      <w:sz w:val="16"/>
      <w:szCs w:val="16"/>
      <w:lang w:val="es-MX"/>
    </w:rPr>
  </w:style>
  <w:style w:type="character" w:styleId="Refdecomentario">
    <w:name w:val="Ref. de comentario"/>
    <w:qFormat/>
    <w:rPr>
      <w:sz w:val="16"/>
      <w:szCs w:val="16"/>
    </w:rPr>
  </w:style>
  <w:style w:type="character" w:styleId="TextocomentarioCar">
    <w:name w:val="Texto comentario Car"/>
    <w:qFormat/>
    <w:rPr>
      <w:lang w:val="es-MX"/>
    </w:rPr>
  </w:style>
  <w:style w:type="character" w:styleId="AsuntodelcomentarioCar">
    <w:name w:val="Asunto del comentario Car"/>
    <w:qFormat/>
    <w:rPr>
      <w:b/>
      <w:bCs/>
      <w:lang w:val="es-MX"/>
    </w:rPr>
  </w:style>
  <w:style w:type="character" w:styleId="Googqstidbit">
    <w:name w:val="goog_qs-tidbit"/>
    <w:basedOn w:val="Fuentedeprrafopredeter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Ttulo7Car">
    <w:name w:val="Título 7 Car"/>
    <w:qFormat/>
    <w:rPr>
      <w:rFonts w:ascii="Calibri" w:hAnsi="Calibri" w:cs="Calibri"/>
      <w:sz w:val="24"/>
      <w:szCs w:val="24"/>
      <w:lang w:val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lang w:val="es-ES"/>
    </w:rPr>
  </w:style>
  <w:style w:type="paragraph" w:styleId="Textoindependiente2">
    <w:name w:val="Texto independiente 2"/>
    <w:basedOn w:val="Normal"/>
    <w:qFormat/>
    <w:pPr>
      <w:spacing w:lineRule="auto" w:line="480" w:before="0" w:after="120"/>
    </w:pPr>
    <w:rPr/>
  </w:style>
  <w:style w:type="paragraph" w:styleId="Mapadeldocumento">
    <w:name w:val="Mapa del documento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Textocomentario">
    <w:name w:val="Texto comentario"/>
    <w:basedOn w:val="Normal"/>
    <w:qFormat/>
    <w:pPr/>
    <w:rPr>
      <w:sz w:val="20"/>
      <w:szCs w:val="20"/>
    </w:rPr>
  </w:style>
  <w:style w:type="paragraph" w:styleId="Asuntodelcomentario">
    <w:name w:val="Asunto del comentario"/>
    <w:basedOn w:val="Textocomentario"/>
    <w:next w:val="Textocomentario"/>
    <w:qFormat/>
    <w:pPr/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127</TotalTime>
  <Application>LibreOffice/7.3.7.2$Linux_X86_64 LibreOffice_project/30$Build-2</Application>
  <AppVersion>15.0000</AppVersion>
  <Pages>3</Pages>
  <Words>357</Words>
  <Characters>2393</Characters>
  <CharactersWithSpaces>2713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2023-10-27T07:57:00Z</dcterms:created>
  <dc:creator>User</dc:creator>
  <dc:description/>
  <dc:language>es-CO</dc:language>
  <cp:lastModifiedBy/>
  <cp:lastPrinted>2022-05-24T14:44:00Z</cp:lastPrinted>
  <dcterms:modified xsi:type="dcterms:W3CDTF">2023-11-28T11:41:03Z</dcterms:modified>
  <cp:revision>38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