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09 de diciembre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CLAUDIA YAZMIN LOZANO BRIÑEZ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 19 23 24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40-15-7070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20231209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09 de diciembre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