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04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RUBEN ANTONIO PEÑA VEGA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26 No. 5 B - 15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VILLAVICENCIO, META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40-15-7643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20231111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11 de diciembre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