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13123 de fecha  </w:t>
      </w:r>
      <w:r>
        <w:rPr>
          <w:rFonts w:ascii="Arial" w:hAnsi="Arial" w:cs="Arial"/>
          <w:lang w:val="es-MX"/>
        </w:rPr>
        <w:t xml:space="preserve">21 de noviembre de 2025</w:t>
      </w:r>
      <w:r>
        <w:rPr>
          <w:rFonts w:ascii="Arial" w:hAnsi="Arial" w:cs="Arial"/>
        </w:rPr>
        <w:t xml:space="preserve">, fue debidamente publicado en el portal Web de la Gobernación de Casanare, aviso fijado el día  Lunes,  24  de  noviembre  de  2025, y desfijado el día  Lunes,  01  de  diciembre  de 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Lunes,  24  de  noviembre  de  2025,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