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2025-005</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123321 de fecha 11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11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2025-12-11 11:42:39</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2025-12-11 11:24:00</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2025-12-11 11:40:52</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