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11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223322 de fecha 11 de diciembre de 2025, proferido dentro del proceso de Cobro Coactivo No. 2025-006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2025-12-11 15:41:05</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2025-12-11 15:30:12</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2025-12-11 15:33:39</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