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Override PartName="/word/media/image_rId14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 xml:space="preserve">En ejercicio de sus facultades legales, y especialmente las conferidas por el artículo 23 del Decreto No. 0323 del 01 de noviembre de 2019; el </w:t>
      </w:r>
      <w:r>
        <w:rPr>
          <w:rFonts w:ascii="Arial" w:hAnsi="Arial"/>
          <w:sz w:val="20"/>
          <w:szCs w:val="20"/>
          <w:shd w:fill="FFFF00" w:val="clear"/>
        </w:rPr>
        <w:t>Decreto 0366 del 31 de octubre de 2025; la Ordenanza 027 del 27 de diciembre de 2023; y</w:t>
      </w:r>
    </w:p>
    <w:p>
      <w:pPr>
        <w:pStyle w:val="LO-normal"/>
        <w:jc w:val="both"/>
        <w:rPr>
          <w:rFonts w:ascii="Arial" w:hAnsi="Arial"/>
          <w:sz w:val="20"/>
          <w:szCs w:val="20"/>
          <w:highlight w:val="none"/>
          <w:shd w:fill="FFFF00" w:val="clear"/>
        </w:rPr>
      </w:pPr>
      <w:r>
        <w:rPr>
          <w:rFonts w:ascii="Arial" w:hAnsi="Arial"/>
          <w:sz w:val="20"/>
          <w:szCs w:val="20"/>
          <w:shd w:fill="FFFF00" w:val="clear"/>
        </w:rPr>
      </w:r>
    </w:p>
    <w:p>
      <w:pPr>
        <w:pStyle w:val="LO-normal"/>
        <w:jc w:val="center"/>
        <w:rPr>
          <w:highlight w:val="none"/>
          <w:shd w:fill="FFFF00" w:val="clear"/>
        </w:rPr>
      </w:pPr>
      <w:r>
        <w:rPr>
          <w:rFonts w:ascii="Arial" w:hAnsi="Arial"/>
          <w:sz w:val="20"/>
          <w:szCs w:val="20"/>
          <w:shd w:fill="FFFF00" w:val="clear"/>
        </w:rPr>
        <w:t>CONSIDERANDO</w:t>
      </w:r>
    </w:p>
    <w:p>
      <w:pPr>
        <w:pStyle w:val="LO-normal"/>
        <w:jc w:val="both"/>
        <w:rPr>
          <w:rFonts w:ascii="Arial" w:hAnsi="Arial"/>
          <w:sz w:val="20"/>
          <w:szCs w:val="20"/>
          <w:highlight w:val="none"/>
          <w:shd w:fill="FFFF00" w:val="clear"/>
        </w:rPr>
      </w:pPr>
      <w:r>
        <w:rPr>
          <w:rFonts w:ascii="Arial" w:hAnsi="Arial"/>
          <w:sz w:val="20"/>
          <w:szCs w:val="20"/>
          <w:shd w:fill="FFFF00" w:val="clear"/>
        </w:rPr>
      </w:r>
    </w:p>
    <w:p>
      <w:pPr>
        <w:pStyle w:val="LO-normal"/>
        <w:jc w:val="both"/>
        <w:rPr>
          <w:highlight w:val="none"/>
          <w:shd w:fill="FFFF00" w:val="clear"/>
        </w:rPr>
      </w:pPr>
      <w:r>
        <w:rPr>
          <w:rFonts w:ascii="Arial" w:hAnsi="Arial"/>
          <w:sz w:val="20"/>
          <w:szCs w:val="20"/>
          <w:shd w:fill="FFFF00" w:val="clear"/>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highlight w:val="none"/>
          <w:shd w:fill="FFFF00" w:val="clear"/>
        </w:rPr>
      </w:pPr>
      <w:r>
        <w:rPr>
          <w:rFonts w:ascii="Arial" w:hAnsi="Arial"/>
          <w:sz w:val="20"/>
          <w:szCs w:val="20"/>
          <w:shd w:fill="FFFF00" w:val="clear"/>
        </w:rPr>
      </w:r>
    </w:p>
    <w:p>
      <w:pPr>
        <w:pStyle w:val="LO-normal"/>
        <w:jc w:val="both"/>
        <w:rPr>
          <w:rFonts w:ascii="Arial" w:hAnsi="Arial"/>
          <w:sz w:val="20"/>
          <w:szCs w:val="20"/>
        </w:rPr>
      </w:pPr>
      <w:r>
        <w:rPr>
          <w:rFonts w:ascii="Arial" w:hAnsi="Arial"/>
          <w:sz w:val="20"/>
          <w:szCs w:val="20"/>
        </w:rPr>
        <w:t>Que, obra en la Dirección de Cobro Coactivo la liquidación oficial de aforo No. 2022000871 de fecha 26 de agosto de 2022, suscrita por la Dirección de Rentas del Departamento de Casanare, la cual determina una obligación tributaria por concepto del no pago de impuesto sobre vehículos automotores al propietario del vehículo marca KIA, modelo 2013, placa MVZ287, correspondiente a las vigencias 2018.</w:t>
      </w:r>
    </w:p>
    <w:p>
      <w:pPr>
        <w:pStyle w:val="LO-normal"/>
        <w:jc w:val="both"/>
        <w:rPr>
          <w:rFonts w:ascii="Arial" w:hAnsi="Arial"/>
          <w:sz w:val="20"/>
          <w:szCs w:val="20"/>
          <w:highlight w:val="none"/>
          <w:shd w:fill="FF6D6D" w:val="clear"/>
        </w:rPr>
      </w:pPr>
      <w:r>
        <w:rPr>
          <w:rFonts w:ascii="Arial" w:hAnsi="Arial"/>
          <w:sz w:val="20"/>
          <w:szCs w:val="20"/>
          <w:shd w:fill="FF6D6D" w:val="clear"/>
        </w:rPr>
      </w:r>
    </w:p>
    <w:p>
      <w:pPr>
        <w:pStyle w:val="LO-normal"/>
        <w:jc w:val="both"/>
        <w:rPr>
          <w:rFonts w:ascii="Arial" w:hAnsi="Arial"/>
          <w:sz w:val="20"/>
          <w:szCs w:val="20"/>
        </w:rPr>
      </w:pPr>
      <w:r>
        <w:rPr>
          <w:rFonts w:ascii="Arial" w:hAnsi="Arial"/>
          <w:sz w:val="20"/>
          <w:szCs w:val="20"/>
          <w:shd w:fill="FF6D6D" w:val="clear"/>
        </w:rPr>
        <w:t>Que, cumplido los requisitos establecidos en el artículo 530 del Estatuto de Rentas del Departamento de Casanare, la Dirección de Cobro Coactivo procedió asignar el número de proceso 2025-007, con el fin de dar inicio al procedimiento administrativo de Cobro Coactivo</w:t>
      </w:r>
      <w:r>
        <w:rPr>
          <w:rFonts w:ascii="Arial" w:hAnsi="Arial"/>
          <w:sz w:val="20"/>
          <w:szCs w:val="20"/>
        </w:rPr>
        <w:t xml:space="preserve"> en contra de JOSE ISAY GUTIERREZ NARVAEZ identificado (a) con cédula de ciudadanía y/o Nit. No. 74.811.103.</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JOSE ISAY GUTIERREZ NARVAEZ,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w:t>
      </w:r>
      <w:r>
        <w:rPr>
          <w:rFonts w:ascii="Arial" w:hAnsi="Arial"/>
          <w:sz w:val="20"/>
          <w:szCs w:val="20"/>
          <w:shd w:fill="FF8000" w:val="clear"/>
        </w:rPr>
        <w:t>nare, y en contra de JOSE ISAY GUTIERREZ NARVAEZ identificado (a) con cédula de ciudadanía y/o Nit. No. 74.811.103 en calidad de propietario (a) del vehículo marca KIA, modelo 2013, placa MVZ287, por la suma de DOS MILLONES DOSCIENTOS OCHENTA Y CINCO MIL SETECIENTOS PESOS ($ 2.285.700,00)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2018</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$ 500.000,00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$ 910.000,00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$ 137.200,00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w:t>
      </w:r>
      <w:r>
        <w:rPr>
          <w:rFonts w:ascii="Arial" w:hAnsi="Arial"/>
          <w:sz w:val="20"/>
          <w:szCs w:val="20"/>
          <w:shd w:fill="FF0000" w:val="clear"/>
        </w:rPr>
        <w:t>sanare, concordante con los artículos 634, 635 y 867-1 del Estatuto Tributario Nacional.</w:t>
      </w:r>
    </w:p>
    <w:p>
      <w:pPr>
        <w:pStyle w:val="LO-normal"/>
        <w:jc w:val="both"/>
        <w:rPr>
          <w:rFonts w:ascii="Arial" w:hAnsi="Arial"/>
          <w:sz w:val="20"/>
          <w:szCs w:val="20"/>
          <w:highlight w:val="none"/>
          <w:shd w:fill="FF0000" w:val="clear"/>
        </w:rPr>
      </w:pPr>
      <w:r>
        <w:rPr>
          <w:rFonts w:ascii="Arial" w:hAnsi="Arial"/>
          <w:sz w:val="20"/>
          <w:szCs w:val="20"/>
          <w:shd w:fill="FF0000" w:val="clear"/>
        </w:rPr>
      </w:r>
    </w:p>
    <w:p>
      <w:pPr>
        <w:pStyle w:val="LO-normal"/>
        <w:jc w:val="both"/>
        <w:rPr>
          <w:highlight w:val="none"/>
          <w:shd w:fill="FF0000" w:val="clear"/>
        </w:rPr>
      </w:pPr>
      <w:r>
        <w:rPr>
          <w:rFonts w:ascii="Arial" w:hAnsi="Arial"/>
          <w:sz w:val="20"/>
          <w:szCs w:val="20"/>
          <w:shd w:fill="FF0000" w:val="clear"/>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highlight w:val="none"/>
          <w:shd w:fill="FF0000" w:val="clear"/>
        </w:rPr>
      </w:pPr>
      <w:r>
        <w:rPr>
          <w:rFonts w:ascii="Arial" w:hAnsi="Arial"/>
          <w:sz w:val="20"/>
          <w:szCs w:val="20"/>
          <w:shd w:fill="FF0000" w:val="clear"/>
        </w:rPr>
      </w:r>
    </w:p>
    <w:p>
      <w:pPr>
        <w:pStyle w:val="LO-normal"/>
        <w:jc w:val="both"/>
        <w:rPr>
          <w:rFonts w:ascii="Arial" w:hAnsi="Arial"/>
          <w:sz w:val="20"/>
          <w:szCs w:val="20"/>
        </w:rPr>
      </w:pPr>
      <w:r>
        <w:rPr>
          <w:rFonts w:ascii="Arial" w:hAnsi="Arial"/>
          <w:sz w:val="20"/>
          <w:szCs w:val="20"/>
          <w:shd w:fill="FF0000" w:val="clear"/>
        </w:rPr>
        <w:t>ARTICULO 3: Advertir al deudor que dispone de quince (15) días hábiles siguientes a la notificación del presente auto, para cancelar la deuda, o proponer las excepciones legales que estime pertinente conforme a los artículos 830 y 831 del Estatuto Tributario Naciona</w:t>
      </w:r>
      <w:r>
        <w:rPr>
          <w:rFonts w:ascii="Arial" w:hAnsi="Arial"/>
          <w:sz w:val="20"/>
          <w:szCs w:val="20"/>
        </w:rPr>
        <w:t>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2" o:title=""/>
                </v:shape>
              </w:pict>
              <w:t/>
            </w:r>
          </w:p>
          <w:p>
            <w:pPr>
              <w:pStyle w:val="LO-normal"/>
              <w:jc w:val="center"/>
              <w:rPr>
                <w:color w:val="FFFFFF"/>
              </w:rPr>
            </w:pPr>
            <w:r>
              <w:rPr>
                <w:rFonts w:ascii="Arial" w:hAnsi="Arial" w:eastAsia="Arial" w:cs="Arial"/>
                <w:color w:val="#000000"/>
                <w:sz w:val="20"/>
                <w:szCs w:val="20"/>
              </w:rPr>
              <w:t xml:space="preserve">Firmado electrónicamente el 2025-12-15 14:54:09</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544"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3" o:title=""/>
                </v:shape>
              </w:pict>
              <w:t/>
            </w:r>
          </w:p>
          <w:p>
            <w:pPr>
              <w:pStyle w:val="LO-normal"/>
              <w:jc w:val="center"/>
              <w:rPr>
                <w:color w:val="FFFFFF"/>
              </w:rPr>
            </w:pPr>
            <w:r>
              <w:rPr>
                <w:rFonts w:ascii="Arial" w:hAnsi="Arial" w:eastAsia="Arial" w:cs="Arial"/>
                <w:color w:val="#000000"/>
                <w:sz w:val="20"/>
                <w:szCs w:val="20"/>
              </w:rPr>
              <w:t xml:space="preserve">Firmado electrónicamente el 2025-12-15 14:55:59</w:t>
            </w:r>
          </w:p>
          <w:p>
            <w:pPr>
              <w:pStyle w:val="LO-normal"/>
              <w:jc w:val="both"/>
              <w:rPr>
                <w:color w:val="000000"/>
              </w:rPr>
            </w:pPr>
            <w:r>
              <w:rPr>
                <w:rFonts w:ascii="Arial" w:hAnsi="Arial"/>
                <w:color w:val="000000"/>
                <w:sz w:val="20"/>
                <w:szCs w:val="20"/>
              </w:rPr>
              <w:t>Proyecta: HUGO RAMON QUINTERO GOMEZ</w:t>
            </w:r>
          </w:p>
          <w:p>
            <w:pPr>
              <w:pStyle w:val="LO-normal"/>
              <w:jc w:val="both"/>
              <w:rPr>
                <w:color w:val="000000"/>
              </w:rPr>
            </w:pPr>
            <w:r>
              <w:rPr>
                <w:rFonts w:ascii="Arial" w:hAnsi="Arial"/>
                <w:color w:val="000000"/>
                <w:sz w:val="20"/>
                <w:szCs w:val="20"/>
              </w:rPr>
              <w:t>Cargo: Profesional Universitario</w:t>
            </w:r>
          </w:p>
        </w:tc>
        <w:tc>
          <w:tcPr>
            <w:tcW w:w="4633"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4" o:title=""/>
                </v:shape>
              </w:pict>
              <w:t/>
            </w:r>
          </w:p>
          <w:p>
            <w:pPr>
              <w:pStyle w:val="LO-normal"/>
              <w:jc w:val="center"/>
              <w:rPr>
                <w:color w:val="FFFFFF"/>
              </w:rPr>
            </w:pPr>
            <w:r>
              <w:rPr>
                <w:rFonts w:ascii="Arial" w:hAnsi="Arial" w:eastAsia="Arial" w:cs="Arial"/>
                <w:color w:val="#000000"/>
                <w:sz w:val="20"/>
                <w:szCs w:val="20"/>
              </w:rPr>
              <w:t xml:space="preserve">Firmado electrónicamente el 2025-12-15 15:38:17</w:t>
            </w:r>
          </w:p>
          <w:p>
            <w:pPr>
              <w:pStyle w:val="LO-normal"/>
              <w:jc w:val="both"/>
              <w:rPr>
                <w:color w:val="000000"/>
              </w:rPr>
            </w:pPr>
            <w:r>
              <w:rPr>
                <w:rFonts w:ascii="Arial" w:hAnsi="Arial"/>
                <w:color w:val="000000"/>
                <w:sz w:val="20"/>
                <w:szCs w:val="20"/>
              </w:rPr>
              <w:t>Revisa: DONALDO CEDEÑO DIAZ</w:t>
            </w:r>
          </w:p>
          <w:p>
            <w:pPr>
              <w:pStyle w:val="LO-normal"/>
              <w:jc w:val="both"/>
              <w:rPr>
                <w:color w:val="000000"/>
              </w:rPr>
            </w:pPr>
            <w:r>
              <w:rPr>
                <w:rFonts w:ascii="Arial" w:hAnsi="Arial"/>
                <w:color w:val="000000"/>
                <w:sz w:val="20"/>
                <w:szCs w:val="20"/>
              </w:rPr>
              <w:t>Cargo: Profesional de Apoyo Cto 0018 de 2024</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1"/>
      <w:gridCol w:w="7796"/>
    </w:tblGrid>
    <w:tr>
      <w:trPr>
        <w:trHeight w:val="180" w:hRule="atLeast"/>
      </w:trPr>
      <w:tc>
        <w:tcPr>
          <w:tcW w:w="1791"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6"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1122334455</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15</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2025-007</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1"/>
      <w:gridCol w:w="7796"/>
    </w:tblGrid>
    <w:tr>
      <w:trPr>
        <w:trHeight w:val="180" w:hRule="atLeast"/>
      </w:trPr>
      <w:tc>
        <w:tcPr>
          <w:tcW w:w="1791"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6"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1122334455</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15</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2025-007</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670</Words>
  <Characters>3881</Characters>
  <CharactersWithSpaces>4506</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2025-12-15T14:38:58Z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