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 xml:space="preserve">En ejercicio de sus facultades legales, y especialmente las conferidas por el artículo 23 del Decreto No. 0323 del 01 de noviembre de 2019; el </w:t>
      </w:r>
      <w:r>
        <w:rPr>
          <w:rFonts w:ascii="Arial" w:hAnsi="Arial"/>
          <w:sz w:val="20"/>
          <w:szCs w:val="20"/>
          <w:shd w:fill="FFFF00" w:val="clear"/>
        </w:rPr>
        <w:t>Decreto 0366 del 31 de octubre de 2025; la Ordenanza 027 del 27 de diciembre de 2023; y</w:t>
      </w:r>
    </w:p>
    <w:p>
      <w:pPr>
        <w:pStyle w:val="LO-normal"/>
        <w:jc w:val="both"/>
        <w:rPr>
          <w:rFonts w:ascii="Arial" w:hAnsi="Arial"/>
          <w:sz w:val="20"/>
          <w:szCs w:val="20"/>
          <w:highlight w:val="none"/>
          <w:shd w:fill="FFFF00" w:val="clear"/>
        </w:rPr>
      </w:pPr>
      <w:r>
        <w:rPr>
          <w:rFonts w:ascii="Arial" w:hAnsi="Arial"/>
          <w:sz w:val="20"/>
          <w:szCs w:val="20"/>
          <w:shd w:fill="FFFF00" w:val="clear"/>
        </w:rPr>
      </w:r>
    </w:p>
    <w:p>
      <w:pPr>
        <w:pStyle w:val="LO-normal"/>
        <w:jc w:val="center"/>
        <w:rPr>
          <w:highlight w:val="none"/>
          <w:shd w:fill="FFFF00" w:val="clear"/>
        </w:rPr>
      </w:pPr>
      <w:r>
        <w:rPr>
          <w:rFonts w:ascii="Arial" w:hAnsi="Arial"/>
          <w:sz w:val="20"/>
          <w:szCs w:val="20"/>
          <w:shd w:fill="FFFF00" w:val="clear"/>
        </w:rPr>
        <w:t>CONSIDERANDO</w:t>
      </w:r>
    </w:p>
    <w:p>
      <w:pPr>
        <w:pStyle w:val="LO-normal"/>
        <w:jc w:val="both"/>
        <w:rPr>
          <w:rFonts w:ascii="Arial" w:hAnsi="Arial"/>
          <w:sz w:val="20"/>
          <w:szCs w:val="20"/>
          <w:highlight w:val="none"/>
          <w:shd w:fill="FFFF00" w:val="clear"/>
        </w:rPr>
      </w:pPr>
      <w:r>
        <w:rPr>
          <w:rFonts w:ascii="Arial" w:hAnsi="Arial"/>
          <w:sz w:val="20"/>
          <w:szCs w:val="20"/>
          <w:shd w:fill="FFFF00" w:val="clear"/>
        </w:rPr>
      </w:r>
    </w:p>
    <w:p>
      <w:pPr>
        <w:pStyle w:val="LO-normal"/>
        <w:jc w:val="both"/>
        <w:rPr>
          <w:highlight w:val="none"/>
          <w:shd w:fill="FFFF00" w:val="clear"/>
        </w:rPr>
      </w:pPr>
      <w:r>
        <w:rPr>
          <w:rFonts w:ascii="Arial" w:hAnsi="Arial"/>
          <w:sz w:val="20"/>
          <w:szCs w:val="20"/>
          <w:shd w:fill="FFFF00" w:val="clear"/>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highlight w:val="none"/>
          <w:shd w:fill="FFFF00" w:val="clear"/>
        </w:rPr>
      </w:pPr>
      <w:r>
        <w:rPr>
          <w:rFonts w:ascii="Arial" w:hAnsi="Arial"/>
          <w:sz w:val="20"/>
          <w:szCs w:val="20"/>
          <w:shd w:fill="FFFF00" w:val="clear"/>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highlight w:val="none"/>
          <w:shd w:fill="FF6D6D" w:val="clear"/>
        </w:rPr>
      </w:pPr>
      <w:r>
        <w:rPr>
          <w:rFonts w:ascii="Arial" w:hAnsi="Arial"/>
          <w:sz w:val="20"/>
          <w:szCs w:val="20"/>
          <w:shd w:fill="FF6D6D" w:val="clear"/>
        </w:rPr>
      </w:r>
    </w:p>
    <w:p>
      <w:pPr>
        <w:pStyle w:val="LO-normal"/>
        <w:jc w:val="both"/>
        <w:rPr>
          <w:rFonts w:ascii="Arial" w:hAnsi="Arial"/>
          <w:sz w:val="20"/>
          <w:szCs w:val="20"/>
        </w:rPr>
      </w:pPr>
      <w:r>
        <w:rPr>
          <w:rFonts w:ascii="Arial" w:hAnsi="Arial"/>
          <w:sz w:val="20"/>
          <w:szCs w:val="20"/>
          <w:shd w:fill="FF6D6D" w:val="clear"/>
        </w:rPr>
        <w:t>Que, cumplido los requisitos establecidos en el artículo 530 del Estatuto de Rentas del Departamento de Casanare, la Dirección de Cobro Coactivo procedió asignar el número de proceso 2025-007, con el fin de dar inicio al procedimiento administrativo de Cobro Coactivo</w:t>
      </w:r>
      <w:r>
        <w:rPr>
          <w:rFonts w:ascii="Arial" w:hAnsi="Arial"/>
          <w:sz w:val="20"/>
          <w:szCs w:val="20"/>
        </w:rPr>
        <w:t xml:space="preserve">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w:t>
      </w:r>
      <w:r>
        <w:rPr>
          <w:rFonts w:ascii="Arial" w:hAnsi="Arial"/>
          <w:sz w:val="20"/>
          <w:szCs w:val="20"/>
          <w:shd w:fill="FF8000" w:val="clear"/>
        </w:rPr>
        <w:t>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w:t>
      </w:r>
      <w:r>
        <w:rPr>
          <w:rFonts w:ascii="Arial" w:hAnsi="Arial"/>
          <w:sz w:val="20"/>
          <w:szCs w:val="20"/>
          <w:shd w:fill="FF0000" w:val="clear"/>
        </w:rPr>
        <w:t>sanare, concordante con los artículos 634, 635 y 867-1 del Estatuto Tributario Nacional.</w:t>
      </w:r>
    </w:p>
    <w:p>
      <w:pPr>
        <w:pStyle w:val="LO-normal"/>
        <w:jc w:val="both"/>
        <w:rPr>
          <w:rFonts w:ascii="Arial" w:hAnsi="Arial"/>
          <w:sz w:val="20"/>
          <w:szCs w:val="20"/>
          <w:highlight w:val="none"/>
          <w:shd w:fill="FF0000" w:val="clear"/>
        </w:rPr>
      </w:pPr>
      <w:r>
        <w:rPr>
          <w:rFonts w:ascii="Arial" w:hAnsi="Arial"/>
          <w:sz w:val="20"/>
          <w:szCs w:val="20"/>
          <w:shd w:fill="FF0000" w:val="clear"/>
        </w:rPr>
      </w:r>
    </w:p>
    <w:p>
      <w:pPr>
        <w:pStyle w:val="LO-normal"/>
        <w:jc w:val="both"/>
        <w:rPr>
          <w:highlight w:val="none"/>
          <w:shd w:fill="FF0000" w:val="clear"/>
        </w:rPr>
      </w:pPr>
      <w:r>
        <w:rPr>
          <w:rFonts w:ascii="Arial" w:hAnsi="Arial"/>
          <w:sz w:val="20"/>
          <w:szCs w:val="20"/>
          <w:shd w:fill="FF0000" w:val="clear"/>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highlight w:val="none"/>
          <w:shd w:fill="FF0000" w:val="clear"/>
        </w:rPr>
      </w:pPr>
      <w:r>
        <w:rPr>
          <w:rFonts w:ascii="Arial" w:hAnsi="Arial"/>
          <w:sz w:val="20"/>
          <w:szCs w:val="20"/>
          <w:shd w:fill="FF0000" w:val="clear"/>
        </w:rPr>
      </w:r>
    </w:p>
    <w:p>
      <w:pPr>
        <w:pStyle w:val="LO-normal"/>
        <w:jc w:val="both"/>
        <w:rPr>
          <w:rFonts w:ascii="Arial" w:hAnsi="Arial"/>
          <w:sz w:val="20"/>
          <w:szCs w:val="20"/>
        </w:rPr>
      </w:pPr>
      <w:r>
        <w:rPr>
          <w:rFonts w:ascii="Arial" w:hAnsi="Arial"/>
          <w:sz w:val="20"/>
          <w:szCs w:val="20"/>
          <w:shd w:fill="FF0000" w:val="clear"/>
        </w:rPr>
        <w:t>ARTICULO 3: Advertir al deudor que dispone de quince (15) días hábiles siguientes a la notificación del presente auto, para cancelar la deuda, o proponer las excepciones legales que estime pertinente conforme a los artículos 830 y 831 del Estatuto Tributario Naciona</w:t>
      </w:r>
      <w:r>
        <w:rPr>
          <w:rFonts w:ascii="Arial" w:hAnsi="Arial"/>
          <w:sz w:val="20"/>
          <w:szCs w:val="20"/>
        </w:rPr>
        <w:t>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670</Words>
  <Characters>3881</Characters>
  <CharactersWithSpaces>4506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2025-12-15T14:38:58Z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