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1122334455 de fecha 15 de diciembre de 2025, proferido dentro del proceso de Cobro Coactivo No. 2025-007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