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2025003403 de fecha 15 de diciembre de 2025, suscrita por la Dirección de Rentas del Departamento de Casanare, la cual determina una obligación tributaria por concepto del no pago de impuesto sobre vehículos automotores al propietario del vehículo marca BAJAJ, modelo 2012, placa NBE67C, correspondiente a las vigencias 2022,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2025-0014, con el fin de dar inicio al procedimiento administrativo de Cobro Coactivo en contra de JORGE ENRIQUE RODRIGUEZ ADAN identificado (a) con cédula de ciudadanía y/o Nit. No. 9.430.488.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CIENTO OCHENTA Y OCHO MIL SETECIENTOS PESOS ($ 188.700,00) M/CTE., suma que no ha sido cancelada por el contribuyente, más sanción e intereses moratorios que se causen desde cuando se hizo exigible la obligación y hasta la fecha de su pago; de conformidad con la liquidación oficial de aforo No. 2025003403 de fecha 15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JORGE ENRIQUE RODRIGUEZ ADAN,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JORGE ENRIQUE RODRIGUEZ ADAN identificado (a) con cédula de ciudadanía y/o Nit. No. 9.430.488 en calidad de propietario (a) del vehículo marca BAJAJ, modelo 2012, placa NBE67C, por la suma de CIENTO OCHENTA Y OCHO MIL SETECIENTOS PESOS ($ 188.700,00)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$ 20.000,00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2023</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$ 28.000,00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2025-0014</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2025-0014</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