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2025-T001</w:t>
      </w:r>
      <w:r>
        <w:rPr>
          <w:rFonts w:cs="Arial" w:ascii="Arial" w:hAnsi="Arial"/>
          <w:sz w:val="22"/>
          <w:szCs w:val="22"/>
        </w:rPr>
        <w:t xml:space="preserve">, en contra de </w:t>
      </w:r>
      <w:bookmarkStart w:id="0" w:name="__DdeLink__11804_1045077792"/>
      <w:r>
        <w:rPr>
          <w:rFonts w:cs="Arial" w:ascii="Arial" w:hAnsi="Arial"/>
          <w:sz w:val="22"/>
          <w:szCs w:val="22"/>
        </w:rPr>
        <w:t>${propietariovehiculo} Identificado (a) con   No.  0</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xml:space="preserve">, correspondiente a las vigencias </w:t>
      </w:r>
      <w:r>
        <w:rPr>
          <w:rFonts w:cs="Arial" w:ascii="Arial" w:hAnsi="Arial"/>
          <w:color w:themeColor="text1" w:val="000000"/>
          <w:sz w:val="22"/>
          <w:szCs w:val="22"/>
        </w:rPr>
        <w:t>${vigenciacobro}</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2025-T001 de fecha 17 de diciembre de 2025, a favor del Departamento de Casanare y en contra de ${propietariovehiculo} Identificado (a) con   No.  0.</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${propietariovehiculo} Identificado (a) con   No.  0, es propietario del bien inmueble identificado con folio de matrícula inmobiliaria No. ${numeromatriculainmobiliaria}, ubicado en la ${direccionmatriculainmobiliaria} del Municipio de ${municipiomatriculainmobiliaria}, y registrado en la Oficina de Registro de Instrumentos Públicos de ${municipioorip} ${departamentoorip}.</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${numeromatriculainmobiliaria}, ubicado en ${direccionmatriculainmobiliaria} del Municipio de ${municipiomatriculainmobiliaria} y registrado en la Oficina de Registro de Instrumentos Públicos de ${municipioorip} ${departamentoorip}, propiedad de ${propietariovehiculo} Identificado (a) con   No.  0.</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519"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