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07018-2025,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2025-12-18 16:38:50</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14:51:04</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2025-12-18 16:38:11</w:t>
            </w:r>
          </w:p>
          <w:p>
            <w:pPr>
              <w:pStyle w:val="LO-normal"/>
              <w:jc w:val="both"/>
              <w:rPr>
                <w:color w:val="000000"/>
              </w:rPr>
            </w:pPr>
            <w:r>
              <w:rPr>
                <w:rFonts w:ascii="Arial" w:hAnsi="Arial"/>
                <w:color w:val="000000"/>
                <w:sz w:val="20"/>
                <w:szCs w:val="20"/>
              </w:rPr>
              <w:t>Revisa: ANDREA MORALES CIFUENTES</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07018-2025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07018-2025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