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18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07018-2025, en contra del Señor (a) DANIEL SANTIAGO PAEZ RIOS Identificado (a) con cédula de ciudadanía No. 1.057.604.261.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7894 de fecha 18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CIENTO CINCUENTA Y CINCO MIL DOSCIENTOS PESOS m/cte. ($155.200,00).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