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2025003409 de fecha 17 de diciembre de 2025, suscrita por la Dirección de Rentas del Departamento de Casanare, la cual determina una obligación tributaria por concepto del no pago de impuesto sobre vehículos automotores al propietario del vehículo marca YAMAHA, modelo 2026, placa PJH18H, correspondiente a las vigencias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07020-2025, con el fin de dar inicio al procedimiento administrativo de Cobro Coactivo en contra de ARIANA LICETH PANIAGUA LOPEZ identificado (a) con cédula de ciudadanía y/o Nit. No. 1.112.104.233.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SETENTA Y SIETE MIL SEISCIENTOS PESOS ($ 77.600,00) M/CTE., suma que no ha sido cancelada por el contribuyente, más sanción e intereses moratorios que se causen desde cuando se hizo exigible la obligación y hasta la fecha de su pago; de conformidad con la liquidación oficial de aforo No. 2025003409 de fecha 17 de diciembre de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ARIANA LICETH PANIAGUA LOPEZ,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ARIANA LICETH PANIAGUA LOPEZ identificado (a) con cédula de ciudadanía y/o Nit. No. 1.112.104.233 en calidad de propietario (a) del vehículo marca YAMAHA, modelo 2026, placa PJH18H, por la suma de SETENTA Y SIETE MIL SEISCIENTOS PESOS ($ 77.600,00)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2025</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$ 27.000,00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$ 600,00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1233</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18</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07020-2025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1233</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18</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07020-2025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