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2025003410 de fecha 18 de diciembre de 2025, suscrita por la Dirección de Rentas del Departamento de Casanare, la cual determina una obligación tributaria por concepto del no pago de impuesto sobre vehículos automotores al propietario del vehículo marca HONDA, modelo 2026, placa URZ24H,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07022-2025, con el fin de dar inicio al procedimiento administrativo de Cobro Coactivo en contra de GEOVANNY ANDRES OTALORA LUNA identificado (a) con cédula de ciudadanía y/o Nit. No. 1.118.528.016.</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TRES MIL QUINIENTOS PESOS ($ 73.500,00) M/CTE., suma que no ha sido cancelada por el contribuyente, más sanción e intereses moratorios que se causen desde cuando se hizo exigible la obligación y hasta la fecha de su pago; de conformidad con la liquidación oficial de aforo No. 2025003410 de fecha 18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GEOVANNY ANDRES OTALORA LUNA,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GEOVANNY ANDRES OTALORA LUNA identificado (a) con cédula de ciudadanía y/o Nit. No. 1.118.528.016 en calidad de propietario (a) del vehículo marca HONDA, modelo 2026, placa URZ24H, por la suma de SETENTA Y TRES MIL QUINIENTOS PESOS ($ 73.500,00)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$ 23.000,00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07856</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07022-2025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07856</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18</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07022-2025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