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21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OSCAR EDUARDO PAEZ RODRIGUEZ</w:t>
      </w:r>
    </w:p>
    <w:p>
      <w:pPr>
        <w:pStyle w:val="Normal"/>
        <w:rPr>
          <w:rFonts w:ascii="Arial" w:hAnsi="Arial" w:cs="Arial"/>
          <w:sz w:val="22"/>
          <w:szCs w:val="22"/>
        </w:rPr>
      </w:pPr>
      <w:r>
        <w:rPr>
          <w:rFonts w:cs="Arial" w:ascii="Arial" w:hAnsi="Arial"/>
          <w:sz w:val="22"/>
          <w:szCs w:val="22"/>
        </w:rPr>
        <w:t> CARRERA 15 No. 40B - 16</w:t>
      </w:r>
    </w:p>
    <w:p>
      <w:pPr>
        <w:pStyle w:val="Normal"/>
        <w:rPr/>
      </w:pPr>
      <w:r>
        <w:rPr>
          <w:rFonts w:cs="Arial" w:ascii="Arial" w:hAnsi="Arial"/>
          <w:sz w:val="22"/>
          <w:szCs w:val="22"/>
        </w:rPr>
        <w:t>YOPAL,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2025-0026</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No.20250026 de fecha 21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532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3510"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