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21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2025-0026,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No.20250026 de fecha 21 de diciembre de 2025, ordenó seguir adelante con la ejecución, en contra del señor OSCAR EDUARDO PAEZ RODRIGUEZ identificado con cédula de ciudadanía No. 74814742, por el no pago del impuesto sobre el vehículo automotor marca CHEVROLET, modelo 2012, placa CRK398, correspondiente a las vigencias fiscales 2019, 2020, 2022.</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2025-0026</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OSCAR EDUARDO PAEZ RODRIGUEZ</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74814742</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2022</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$11.290.000,00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$169.000,00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$229.000,00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$123.900,00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$521.900,00</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2020</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$15.088.000,00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$226.000,00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$229.000,00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$271.000,00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$726.000,00</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2019</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$16.400.000,00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$246.000,00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$271.000,00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$371.500,00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$888.500,00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$641.000,00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$729.000,00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$766.400,00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$2.136.400,00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DOS MILLONES CIENTO TREINTA Y SEIS MIL CUATROCIENTOS PESOS ($2.136.400,00).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DOS MILLONES CIENTO TREINTA Y SEIS MIL CUATROCIENTOS PESOS ($2.136.400,00), la suma que por concepto del crédito debe pagar a favor del Departamento de Casanare, el contribuyente OSCAR EDUARDO PAEZ RODRIGUEZ identificado con cédula de ciudadanía No. 74814742, valor que corresponde al impuesto, sanciones e intereses moratorios, causados hasta la fecha del presente auto, por el no pago del impuesto del vehículo de placa CRK398, correspondiente a las vigencias 2019, 2020, 2022.</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