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2025-0026</w:t>
      </w:r>
      <w:r>
        <w:rPr>
          <w:rFonts w:cs="Arial" w:ascii="Arial" w:hAnsi="Arial"/>
          <w:sz w:val="22"/>
          <w:szCs w:val="22"/>
        </w:rPr>
        <w:t xml:space="preserve">, en contra de OSCAR EDUARDO PAEZ RODRIGUEZ identificado (a) con cédula de ciudadanía No. 74.814.742,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2012</w:t>
      </w:r>
      <w:r>
        <w:rPr>
          <w:rFonts w:cs="Arial" w:ascii="Arial" w:hAnsi="Arial"/>
          <w:sz w:val="22"/>
          <w:szCs w:val="22"/>
        </w:rPr>
        <w:t xml:space="preserve">, placa </w:t>
      </w:r>
      <w:r>
        <w:rPr>
          <w:rFonts w:cs="Arial" w:ascii="Arial" w:hAnsi="Arial"/>
          <w:color w:themeColor="text1" w:val="000000"/>
          <w:sz w:val="22"/>
          <w:szCs w:val="22"/>
        </w:rPr>
        <w:t>CRK398</w:t>
      </w:r>
      <w:r>
        <w:rPr>
          <w:rFonts w:cs="Arial" w:ascii="Arial" w:hAnsi="Arial"/>
          <w:sz w:val="22"/>
          <w:szCs w:val="22"/>
        </w:rPr>
        <w:t>, correspondiente a las vigencias 2019, 2020, 2022</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2025-0026 de fecha 21 de diciembre de 2025, a favor del Departamento de Casanare y en contra de OSCAR EDUARDO PAEZ RODRIGUEZ identificado (a) con cédula de ciudadanía No. 74.814.742.</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13 de diciembre de 2025</w:t>
      </w:r>
      <w:r>
        <w:rPr>
          <w:rFonts w:cs="Arial" w:ascii="Arial" w:hAnsi="Arial"/>
          <w:sz w:val="22"/>
          <w:szCs w:val="22"/>
        </w:rPr>
        <w:t>, a la fecha, la deuda asciende al valor de DOS MILLONES TRESCIENTOS NUEVE MIL OCHOCIENTOS PESOS ($2.309.800,00)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OSCAR EDUARDO PAEZ RODRIGUEZ identificado (a) con cédula de ciudadanía No. 74.814.742,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 MILLONES SEISCIENTOS DIECINUEVE MIL SEISCIENTOS PESOS ($4.619.600,00)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No.2025-0026-001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No.2025-0026-001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