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lang w:val="es-ES"/>
        </w:rPr>
        <w:t xml:space="preserve">LA </w:t>
      </w:r>
      <w:r>
        <w:rPr>
          <w:rFonts w:eastAsia="Arial" w:cs="Arial" w:ascii="Arial" w:hAnsi="Arial"/>
          <w:sz w:val="22"/>
          <w:szCs w:val="22"/>
        </w:rPr>
        <w:t>DIRECTOR</w:t>
      </w:r>
      <w:r>
        <w:rPr>
          <w:rFonts w:eastAsia="Arial" w:cs="Arial" w:ascii="Arial" w:hAnsi="Arial"/>
          <w:sz w:val="22"/>
          <w:szCs w:val="22"/>
          <w:lang w:val="es-ES"/>
        </w:rPr>
        <w:t>A</w:t>
      </w:r>
      <w:r>
        <w:rPr>
          <w:rFonts w:eastAsia="Arial" w:cs="Arial" w:ascii="Arial" w:hAnsi="Arial"/>
          <w:sz w:val="22"/>
          <w:szCs w:val="22"/>
        </w:rPr>
        <w:t xml:space="preserve"> TÉCNIC</w:t>
      </w:r>
      <w:r>
        <w:rPr>
          <w:rFonts w:eastAsia="Arial" w:cs="Arial" w:ascii="Arial" w:hAnsi="Arial"/>
          <w:sz w:val="22"/>
          <w:szCs w:val="22"/>
          <w:lang w:val="es-ES"/>
        </w:rPr>
        <w:t>A</w:t>
      </w:r>
      <w:r>
        <w:rPr>
          <w:rFonts w:eastAsia="Arial" w:cs="Arial" w:ascii="Arial" w:hAnsi="Arial"/>
          <w:sz w:val="22"/>
          <w:szCs w:val="22"/>
        </w:rPr>
        <w:t xml:space="preserve"> DE COBRO COACTIVO DEL DEPARTAMENTO DE CASANARE</w:t>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tabs>
          <w:tab w:val="clear" w:pos="720"/>
          <w:tab w:val="left" w:pos="2970" w:leader="none"/>
        </w:tabs>
        <w:rPr>
          <w:rFonts w:ascii="Arial" w:hAnsi="Arial" w:eastAsia="Arial" w:cs="Arial"/>
          <w:sz w:val="22"/>
          <w:szCs w:val="22"/>
        </w:rPr>
      </w:pPr>
      <w:r>
        <w:rPr>
          <w:rFonts w:eastAsia="Arial" w:cs="Arial" w:ascii="Arial" w:hAnsi="Arial"/>
          <w:sz w:val="22"/>
          <w:szCs w:val="22"/>
        </w:rPr>
      </w:r>
    </w:p>
    <w:p>
      <w:pPr>
        <w:pStyle w:val="Normal"/>
        <w:ind w:hanging="0" w:left="142"/>
        <w:jc w:val="center"/>
        <w:rPr>
          <w:rFonts w:ascii="Arial" w:hAnsi="Arial" w:eastAsia="Arial" w:cs="Arial"/>
          <w:sz w:val="22"/>
          <w:szCs w:val="22"/>
        </w:rPr>
      </w:pPr>
      <w:r>
        <w:rPr>
          <w:rFonts w:eastAsia="Arial" w:cs="Arial" w:ascii="Arial" w:hAnsi="Arial"/>
          <w:sz w:val="22"/>
          <w:szCs w:val="22"/>
        </w:rPr>
        <w:t>CONSIDERANDO</w:t>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sz w:val="22"/>
          <w:szCs w:val="22"/>
        </w:rPr>
        <w:t>Que en la Dirección de Cobro Coactivo se adelanta proceso administrativo de cobro No.</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2025-0027, en contra de VICTOR ALFONSO CASTAÑEDA RAMIREZ identificado (a) con cédula de ciudadanía y/o Nit. No. 1.118.541.645</w:t>
      </w:r>
      <w:r>
        <w:rPr>
          <w:rFonts w:eastAsia="Arial" w:cs="Arial" w:ascii="Arial" w:hAnsi="Arial"/>
          <w:sz w:val="22"/>
          <w:szCs w:val="22"/>
        </w:rPr>
        <w:t>, por el no pago del impuesto sobre el vehículo automotor marca</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BAJAJ, modelo 2016, placa AAZ04E</w:t>
      </w:r>
      <w:r>
        <w:rPr>
          <w:rFonts w:eastAsia="Arial" w:cs="Arial" w:ascii="Arial" w:hAnsi="Arial"/>
          <w:sz w:val="22"/>
          <w:szCs w:val="22"/>
        </w:rPr>
        <w:t xml:space="preserve">, correspondiente a las vigencias fiscales </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2019, 2020, 2021, 2022, por la suma de TRESCIENTOS VEINTE MIL PESOS ($ 320.000,00) M/CTE</w:t>
      </w:r>
      <w:r>
        <w:rPr>
          <w:rFonts w:eastAsia="Arial" w:cs="Arial" w:ascii="Arial" w:hAnsi="Arial"/>
          <w:sz w:val="22"/>
          <w:szCs w:val="22"/>
        </w:rPr>
        <w:t>., más las sanciones e intereses que se causen, desde cuando se hizo exigible la obligación y hasta la fecha de su pago.</w:t>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both"/>
        <w:rPr>
          <w:rFonts w:ascii="Arial" w:hAnsi="Arial" w:eastAsia="Arial" w:cs="Arial"/>
          <w:sz w:val="22"/>
          <w:szCs w:val="22"/>
        </w:rPr>
      </w:pPr>
      <w:r>
        <w:rPr>
          <w:rFonts w:eastAsia="Arial" w:cs="Arial" w:ascii="Arial" w:hAnsi="Arial"/>
          <w:sz w:val="22"/>
          <w:szCs w:val="22"/>
        </w:rPr>
        <w:t>Que ha transcurrido el término de quince (15) días hábiles siguientes a la notificación del mandamiento de pago, sin que el deudor haya pagado la obligación ni propuesto las excepciones contempladas en el artículo 546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el proceso se adelanta teniendo en cuenta los trámites de ley y no existiendo irregularidades procesales pendientes de resolver, es procedente dictar orden de ejecución, de conformidad a lo consagrado en el artículo 552 del Estatuto de Rentas del Departamento de Casanare, en concordancia con el artículo 836 del Estatuto Tributario Nacional.</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en mérito de lo expuesto, el Despacho,</w:t>
      </w:r>
    </w:p>
    <w:p>
      <w:pPr>
        <w:pStyle w:val="Normal"/>
        <w:jc w:val="both"/>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sz w:val="22"/>
          <w:szCs w:val="22"/>
        </w:rPr>
        <w:t>RESUELVE</w:t>
      </w:r>
    </w:p>
    <w:p>
      <w:pPr>
        <w:pStyle w:val="Normal"/>
        <w:keepNext w:val="false"/>
        <w:keepLines w:val="false"/>
        <w:pageBreakBefore w:val="false"/>
        <w:widowControl/>
        <w:pBdr/>
        <w:shd w:val="clear" w:color="auto" w:fill="auto"/>
        <w:spacing w:lineRule="auto" w:line="240" w:before="0" w:after="0"/>
        <w:ind w:hanging="0" w:left="0" w:right="0"/>
        <w:jc w:val="left"/>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both"/>
        <w:rPr>
          <w:rFonts w:ascii="Arial" w:hAnsi="Arial" w:eastAsia="Arial" w:cs="Arial"/>
          <w:sz w:val="22"/>
          <w:szCs w:val="22"/>
        </w:rPr>
      </w:pPr>
      <w:r>
        <w:rPr>
          <w:rFonts w:eastAsia="Arial" w:cs="Arial" w:ascii="Arial" w:hAnsi="Arial"/>
          <w:sz w:val="22"/>
          <w:szCs w:val="22"/>
        </w:rPr>
        <w:t>ARTÍCULO 1: Ordenar seguir adelante con la ejecución en contra del señor (a) VICTOR ALFONSO CASTAÑEDA RAMIREZ Identificado (a) con cédula de ciudadanía  No.  1.118.541.645, dentro del proceso de Cobro Coactivo No. 2025-0027, en los términos del mandamiento de pago.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2: Practicar la liquidación del crédito, incluido intereses moratorios y correr traslado de esta al deudor, por el término de tres (3) días hábiles, para que formule las objeciones que considere pertinentes.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3: En firme la liquidación, disponer del dinero embargado aplicando a la deuda los títulos de depósito judicial hasta la concurrencia del valor liquidado, y devolver el excedente al ejecutado, en el caso que corresponda.</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4: Condenar al señor (a) VICTOR ALFONSO CASTAÑEDA RAMIREZ Identificado (a) con cédula de ciudadanía  No.  1.118.541.645, a pagar todos los gastos en que incurre Ia administración Departamental, para hacer efectivo el crédito, como honorarios de secuestre, peritos, gastos de transporte, publicaciones, entre otros, tal como lo dispone el Parágrafo Segundo del artículo 608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sz w:val="22"/>
          <w:szCs w:val="22"/>
        </w:rPr>
        <w:t>ARTÍCULO 5: Contra esta Resolución no procede recurso alguno.</w:t>
      </w:r>
    </w:p>
    <w:p>
      <w:pPr>
        <w:pStyle w:val="Normal"/>
        <w:keepNext w:val="false"/>
        <w:keepLines w:val="false"/>
        <w:pageBreakBefore w:val="false"/>
        <w:widowControl w:val="false"/>
        <w:pBdr/>
        <w:shd w:val="clear" w:color="auto" w:fill="auto"/>
        <w:spacing w:lineRule="auto" w:line="240" w:before="0" w:after="0"/>
        <w:ind w:hanging="0" w:left="0" w:right="0"/>
        <w:jc w:val="left"/>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center"/>
        <w:rPr>
          <w:rFonts w:ascii="Arial" w:hAnsi="Arial" w:eastAsia="Arial" w:cs="Arial"/>
          <w:sz w:val="22"/>
          <w:szCs w:val="22"/>
        </w:rPr>
      </w:pPr>
      <w:r>
        <w:rPr>
          <w:rFonts w:eastAsia="Arial" w:cs="Arial" w:ascii="Arial" w:hAnsi="Arial"/>
          <w:sz w:val="22"/>
          <w:szCs w:val="22"/>
        </w:rPr>
        <w:t>CÚMPLASE</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jc w:val="both"/>
        <w:rPr>
          <w:rFonts w:ascii="Arial" w:hAnsi="Arial" w:eastAsia="Arial" w:cs="Arial"/>
          <w:sz w:val="22"/>
          <w:szCs w:val="22"/>
        </w:rPr>
      </w:pPr>
      <w:r>
        <w:rPr>
          <w:rFonts w:eastAsia="Arial" w:cs="Arial" w:ascii="Arial" w:hAnsi="Arial"/>
          <w:sz w:val="22"/>
          <w:szCs w:val="22"/>
        </w:rPr>
        <w:t>Dada en Yopal, a los</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rPr/>
      </w:pPr>
      <w:r>
        <w:rPr/>
      </w:r>
    </w:p>
    <w:tbl>
      <w:tblPr>
        <w:tblW w:w="5000" w:type="pct"/>
        <w:jc w:val="left"/>
        <w:tblInd w:w="0"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2025-12-21 23:10:46</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6"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2025-12-21 22:46:46</w:t>
            </w:r>
          </w:p>
          <w:p>
            <w:pPr>
              <w:pStyle w:val="LO-normal"/>
              <w:jc w:val="both"/>
              <w:rPr>
                <w:color w:val="000000"/>
              </w:rPr>
            </w:pPr>
            <w:r>
              <w:rPr>
                <w:rFonts w:ascii="Arial" w:hAnsi="Arial"/>
                <w:color w:val="000000"/>
                <w:sz w:val="20"/>
                <w:szCs w:val="20"/>
              </w:rPr>
              <w:t>Proyecta: DIANA YESENIA NOSSA FUENTES</w:t>
            </w:r>
          </w:p>
          <w:p>
            <w:pPr>
              <w:pStyle w:val="LO-normal"/>
              <w:jc w:val="both"/>
              <w:rPr>
                <w:color w:val="000000"/>
              </w:rPr>
            </w:pPr>
            <w:r>
              <w:rPr>
                <w:rFonts w:ascii="Arial" w:hAnsi="Arial"/>
                <w:color w:val="000000"/>
                <w:sz w:val="20"/>
                <w:szCs w:val="20"/>
              </w:rPr>
              <w:t>Cargo: Profesional Universitario</w:t>
            </w:r>
          </w:p>
        </w:tc>
        <w:tc>
          <w:tcPr>
            <w:tcW w:w="4462" w:type="dxa"/>
            <w:tcBorders/>
          </w:tcPr>
          <w:p>
            <w:pPr>
              <w:pStyle w:val="LO-normal"/>
              <w:jc w:val="center"/>
              <w:rPr>
                <w:color w:val="FFFFFF"/>
              </w:rPr>
            </w:pPr>
            <w:r>
              <w:rPr/>
            </w:r>
          </w:p>
        </w:tc>
      </w:tr>
    </w:tbl>
    <w:p>
      <w:pPr>
        <w:pStyle w:val="Normal"/>
        <w:widowControl w:val="false"/>
        <w:jc w:val="both"/>
        <w:rPr>
          <w:rFonts w:ascii="Arial" w:hAnsi="Arial" w:eastAsia="Arial" w:cs="Arial"/>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pBdr/>
      <w:shd w:val="clear" w:color="auto" w:fill="auto"/>
      <w:spacing w:lineRule="auto" w:line="276"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r>
  </w:p>
  <w:tbl>
    <w:tblPr>
      <w:tblStyle w:val="1114"/>
      <w:tblW w:w="8838" w:type="dxa"/>
      <w:jc w:val="center"/>
      <w:tblInd w:w="0" w:type="dxa"/>
      <w:tblLayout w:type="fixed"/>
      <w:tblCellMar>
        <w:top w:w="0" w:type="dxa"/>
        <w:left w:w="115" w:type="dxa"/>
        <w:bottom w:w="0" w:type="dxa"/>
        <w:right w:w="115"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Carrera 20 No.8 - 02, Cód. Postal 850001, Tél. 6336339, Ext. 1320 Yopal, Casanare</w:t>
          </w:r>
        </w:p>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www.casanare.gov.co – cobrocoactivo@casanare.gov.co</w:t>
          </w:r>
        </w:p>
      </w:tc>
      <w:tc>
        <w:tcPr>
          <w:tcW w:w="1125"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righ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kern w:val="0"/>
              <w:szCs w:val="24"/>
              <w:lang w:val="es-MX" w:bidi="ar-SA"/>
            </w:rPr>
            <w:fldChar w:fldCharType="begin"/>
          </w:r>
          <w:r>
            <w:rPr>
              <w:kern w:val="0"/>
              <w:szCs w:val="24"/>
              <w:rFonts w:eastAsia="Calibri" w:cs="Calibri"/>
              <w:lang w:val="es-MX" w:bidi="ar-SA"/>
            </w:rPr>
            <w:instrText xml:space="preserve"> PAGE </w:instrText>
          </w:r>
          <w:r>
            <w:rPr>
              <w:kern w:val="0"/>
              <w:szCs w:val="24"/>
              <w:rFonts w:eastAsia="Calibri" w:cs="Calibri"/>
              <w:lang w:val="es-MX" w:bidi="ar-SA"/>
            </w:rPr>
            <w:fldChar w:fldCharType="separate"/>
          </w:r>
          <w:r>
            <w:rPr>
              <w:kern w:val="0"/>
              <w:szCs w:val="24"/>
              <w:rFonts w:eastAsia="Calibri" w:cs="Calibri"/>
              <w:lang w:val="es-MX" w:bidi="ar-SA"/>
            </w:rPr>
            <w:t>1</w:t>
          </w:r>
          <w:r>
            <w:rPr>
              <w:kern w:val="0"/>
              <w:szCs w:val="24"/>
              <w:rFonts w:eastAsia="Calibri" w:cs="Calibri"/>
              <w:lang w:val="es-MX" w:bidi="ar-SA"/>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de </w:t>
          </w:r>
          <w:r>
            <w:rPr>
              <w:rFonts w:eastAsia="Calibri" w:cs="Calibri"/>
              <w:kern w:val="0"/>
              <w:szCs w:val="24"/>
              <w:lang w:val="es-MX" w:bidi="ar-SA"/>
            </w:rPr>
            <w:fldChar w:fldCharType="begin"/>
          </w:r>
          <w:r>
            <w:rPr>
              <w:kern w:val="0"/>
              <w:szCs w:val="24"/>
              <w:rFonts w:eastAsia="Calibri" w:cs="Calibri"/>
              <w:lang w:val="es-MX" w:bidi="ar-SA"/>
            </w:rPr>
            <w:instrText xml:space="preserve"> NUMPAGES </w:instrText>
          </w:r>
          <w:r>
            <w:rPr>
              <w:kern w:val="0"/>
              <w:szCs w:val="24"/>
              <w:rFonts w:eastAsia="Calibri" w:cs="Calibri"/>
              <w:lang w:val="es-MX" w:bidi="ar-SA"/>
            </w:rPr>
            <w:fldChar w:fldCharType="separate"/>
          </w:r>
          <w:r>
            <w:rPr>
              <w:kern w:val="0"/>
              <w:szCs w:val="24"/>
              <w:rFonts w:eastAsia="Calibri" w:cs="Calibri"/>
              <w:lang w:val="es-MX" w:bidi="ar-SA"/>
            </w:rPr>
            <w:t>2</w:t>
          </w:r>
          <w:r>
            <w:rPr>
              <w:kern w:val="0"/>
              <w:szCs w:val="24"/>
              <w:rFonts w:eastAsia="Calibri" w:cs="Calibri"/>
              <w:lang w:val="es-MX" w:bidi="ar-SA"/>
            </w:rPr>
            <w:fldChar w:fldCharType="end"/>
          </w:r>
        </w:p>
      </w:tc>
    </w:tr>
  </w:tbl>
  <w:p>
    <w:pPr>
      <w:pStyle w:val="Normal"/>
      <w:keepNext w:val="false"/>
      <w:keepLines w:val="false"/>
      <w:pageBreakBefore w:val="false"/>
      <w:widowControl/>
      <w:pBdr/>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pBdr/>
      <w:shd w:val="clear" w:color="auto" w:fill="auto"/>
      <w:spacing w:lineRule="auto" w:line="276"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r>
  </w:p>
  <w:tbl>
    <w:tblPr>
      <w:tblStyle w:val="1114"/>
      <w:tblW w:w="8838" w:type="dxa"/>
      <w:jc w:val="center"/>
      <w:tblInd w:w="0" w:type="dxa"/>
      <w:tblLayout w:type="fixed"/>
      <w:tblCellMar>
        <w:top w:w="0" w:type="dxa"/>
        <w:left w:w="115" w:type="dxa"/>
        <w:bottom w:w="0" w:type="dxa"/>
        <w:right w:w="115"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Carrera 20 No.8 - 02, Cód. Postal 850001, Tél. 6336339, Ext. 1320 Yopal, Casanare</w:t>
          </w:r>
        </w:p>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www.casanare.gov.co – cobrocoactivo@casanare.gov.co</w:t>
          </w:r>
        </w:p>
      </w:tc>
      <w:tc>
        <w:tcPr>
          <w:tcW w:w="1125"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righ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kern w:val="0"/>
              <w:szCs w:val="24"/>
              <w:lang w:val="es-MX" w:bidi="ar-SA"/>
            </w:rPr>
            <w:fldChar w:fldCharType="begin"/>
          </w:r>
          <w:r>
            <w:rPr>
              <w:kern w:val="0"/>
              <w:szCs w:val="24"/>
              <w:rFonts w:eastAsia="Calibri" w:cs="Calibri"/>
              <w:lang w:val="es-MX" w:bidi="ar-SA"/>
            </w:rPr>
            <w:instrText xml:space="preserve"> PAGE </w:instrText>
          </w:r>
          <w:r>
            <w:rPr>
              <w:kern w:val="0"/>
              <w:szCs w:val="24"/>
              <w:rFonts w:eastAsia="Calibri" w:cs="Calibri"/>
              <w:lang w:val="es-MX" w:bidi="ar-SA"/>
            </w:rPr>
            <w:fldChar w:fldCharType="separate"/>
          </w:r>
          <w:r>
            <w:rPr>
              <w:kern w:val="0"/>
              <w:szCs w:val="24"/>
              <w:rFonts w:eastAsia="Calibri" w:cs="Calibri"/>
              <w:lang w:val="es-MX" w:bidi="ar-SA"/>
            </w:rPr>
            <w:t>1</w:t>
          </w:r>
          <w:r>
            <w:rPr>
              <w:kern w:val="0"/>
              <w:szCs w:val="24"/>
              <w:rFonts w:eastAsia="Calibri" w:cs="Calibri"/>
              <w:lang w:val="es-MX" w:bidi="ar-SA"/>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de </w:t>
          </w:r>
          <w:r>
            <w:rPr>
              <w:rFonts w:eastAsia="Calibri" w:cs="Calibri"/>
              <w:kern w:val="0"/>
              <w:szCs w:val="24"/>
              <w:lang w:val="es-MX" w:bidi="ar-SA"/>
            </w:rPr>
            <w:fldChar w:fldCharType="begin"/>
          </w:r>
          <w:r>
            <w:rPr>
              <w:kern w:val="0"/>
              <w:szCs w:val="24"/>
              <w:rFonts w:eastAsia="Calibri" w:cs="Calibri"/>
              <w:lang w:val="es-MX" w:bidi="ar-SA"/>
            </w:rPr>
            <w:instrText xml:space="preserve"> NUMPAGES </w:instrText>
          </w:r>
          <w:r>
            <w:rPr>
              <w:kern w:val="0"/>
              <w:szCs w:val="24"/>
              <w:rFonts w:eastAsia="Calibri" w:cs="Calibri"/>
              <w:lang w:val="es-MX" w:bidi="ar-SA"/>
            </w:rPr>
            <w:fldChar w:fldCharType="separate"/>
          </w:r>
          <w:r>
            <w:rPr>
              <w:kern w:val="0"/>
              <w:szCs w:val="24"/>
              <w:rFonts w:eastAsia="Calibri" w:cs="Calibri"/>
              <w:lang w:val="es-MX" w:bidi="ar-SA"/>
            </w:rPr>
            <w:t>2</w:t>
          </w:r>
          <w:r>
            <w:rPr>
              <w:kern w:val="0"/>
              <w:szCs w:val="24"/>
              <w:rFonts w:eastAsia="Calibri" w:cs="Calibri"/>
              <w:lang w:val="es-MX" w:bidi="ar-SA"/>
            </w:rPr>
            <w:fldChar w:fldCharType="end"/>
          </w:r>
        </w:p>
      </w:tc>
    </w:tr>
  </w:tbl>
  <w:p>
    <w:pPr>
      <w:pStyle w:val="Normal"/>
      <w:keepNext w:val="false"/>
      <w:keepLines w:val="false"/>
      <w:pageBreakBefore w:val="false"/>
      <w:widowControl/>
      <w:pBdr/>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Calibri" w:hAnsi="Calibri" w:eastAsia="Calibri" w:cs="Calibri"/>
      <w:color w:val="auto"/>
      <w:kern w:val="0"/>
      <w:sz w:val="24"/>
      <w:szCs w:val="24"/>
      <w:lang w:eastAsia="es-MX" w:val="es-MX" w:bidi="ar-SA"/>
    </w:rPr>
  </w:style>
  <w:style w:type="paragraph" w:styleId="Heading1">
    <w:name w:val="Heading 1"/>
    <w:uiPriority w:val="9"/>
    <w:qFormat/>
    <w:pPr>
      <w:keepNext w:val="true"/>
      <w:keepLines/>
      <w:widowControl/>
      <w:bidi w:val="0"/>
      <w:spacing w:before="480" w:after="120"/>
      <w:jc w:val="left"/>
      <w:outlineLvl w:val="0"/>
    </w:pPr>
    <w:rPr>
      <w:rFonts w:ascii="Calibri" w:hAnsi="Calibri" w:eastAsia="Calibri" w:cs="Calibri"/>
      <w:b/>
      <w:color w:val="auto"/>
      <w:kern w:val="0"/>
      <w:sz w:val="48"/>
      <w:szCs w:val="48"/>
      <w:lang w:val="es-MX" w:eastAsia="zh-CN" w:bidi="ar-SA"/>
    </w:rPr>
  </w:style>
  <w:style w:type="paragraph" w:styleId="Heading2">
    <w:name w:val="Heading 2"/>
    <w:uiPriority w:val="9"/>
    <w:semiHidden/>
    <w:unhideWhenUsed/>
    <w:qFormat/>
    <w:pPr>
      <w:keepNext w:val="true"/>
      <w:keepLines/>
      <w:widowControl/>
      <w:bidi w:val="0"/>
      <w:spacing w:before="360" w:after="80"/>
      <w:jc w:val="left"/>
      <w:outlineLvl w:val="1"/>
    </w:pPr>
    <w:rPr>
      <w:rFonts w:ascii="Calibri" w:hAnsi="Calibri" w:eastAsia="Calibri" w:cs="Calibri"/>
      <w:b/>
      <w:color w:val="auto"/>
      <w:kern w:val="0"/>
      <w:sz w:val="36"/>
      <w:szCs w:val="36"/>
      <w:lang w:val="es-MX" w:eastAsia="zh-CN" w:bidi="ar-SA"/>
    </w:rPr>
  </w:style>
  <w:style w:type="paragraph" w:styleId="Heading3">
    <w:name w:val="Heading 3"/>
    <w:uiPriority w:val="9"/>
    <w:semiHidden/>
    <w:unhideWhenUsed/>
    <w:qFormat/>
    <w:pPr>
      <w:keepNext w:val="true"/>
      <w:keepLines/>
      <w:widowControl/>
      <w:bidi w:val="0"/>
      <w:spacing w:before="280" w:after="80"/>
      <w:jc w:val="left"/>
      <w:outlineLvl w:val="2"/>
    </w:pPr>
    <w:rPr>
      <w:rFonts w:ascii="Calibri" w:hAnsi="Calibri" w:eastAsia="Calibri" w:cs="Calibri"/>
      <w:b/>
      <w:color w:val="auto"/>
      <w:kern w:val="0"/>
      <w:sz w:val="28"/>
      <w:szCs w:val="28"/>
      <w:lang w:val="es-MX" w:eastAsia="zh-CN" w:bidi="ar-SA"/>
    </w:rPr>
  </w:style>
  <w:style w:type="paragraph" w:styleId="Heading4">
    <w:name w:val="Heading 4"/>
    <w:uiPriority w:val="9"/>
    <w:semiHidden/>
    <w:unhideWhenUsed/>
    <w:qFormat/>
    <w:pPr>
      <w:keepNext w:val="true"/>
      <w:keepLines/>
      <w:widowControl/>
      <w:bidi w:val="0"/>
      <w:spacing w:before="240" w:after="40"/>
      <w:jc w:val="left"/>
      <w:outlineLvl w:val="3"/>
    </w:pPr>
    <w:rPr>
      <w:rFonts w:ascii="Calibri" w:hAnsi="Calibri" w:eastAsia="Calibri" w:cs="Calibri"/>
      <w:b/>
      <w:color w:val="auto"/>
      <w:kern w:val="0"/>
      <w:sz w:val="24"/>
      <w:szCs w:val="24"/>
      <w:lang w:val="es-MX" w:eastAsia="zh-CN" w:bidi="ar-SA"/>
    </w:rPr>
  </w:style>
  <w:style w:type="paragraph" w:styleId="Heading5">
    <w:name w:val="Heading 5"/>
    <w:uiPriority w:val="9"/>
    <w:semiHidden/>
    <w:unhideWhenUsed/>
    <w:qFormat/>
    <w:pPr>
      <w:keepNext w:val="true"/>
      <w:keepLines/>
      <w:widowControl/>
      <w:bidi w:val="0"/>
      <w:spacing w:before="220" w:after="40"/>
      <w:jc w:val="left"/>
      <w:outlineLvl w:val="4"/>
    </w:pPr>
    <w:rPr>
      <w:rFonts w:ascii="Calibri" w:hAnsi="Calibri" w:eastAsia="Calibri" w:cs="Calibri"/>
      <w:b/>
      <w:color w:val="auto"/>
      <w:kern w:val="0"/>
      <w:sz w:val="22"/>
      <w:szCs w:val="22"/>
      <w:lang w:val="es-MX" w:eastAsia="zh-CN" w:bidi="ar-SA"/>
    </w:rPr>
  </w:style>
  <w:style w:type="paragraph" w:styleId="Heading6">
    <w:name w:val="Heading 6"/>
    <w:uiPriority w:val="9"/>
    <w:semiHidden/>
    <w:unhideWhenUsed/>
    <w:qFormat/>
    <w:pPr>
      <w:keepNext w:val="true"/>
      <w:keepLines/>
      <w:widowControl/>
      <w:bidi w:val="0"/>
      <w:spacing w:before="200" w:after="40"/>
      <w:jc w:val="left"/>
      <w:outlineLvl w:val="5"/>
    </w:pPr>
    <w:rPr>
      <w:rFonts w:ascii="Calibri" w:hAnsi="Calibri" w:eastAsia="Calibri" w:cs="Calibri"/>
      <w:b/>
      <w:color w:val="auto"/>
      <w:kern w:val="0"/>
      <w:sz w:val="24"/>
      <w:szCs w:val="20"/>
      <w:lang w:val="es-MX" w:eastAsia="zh-CN" w:bidi="ar-SA"/>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sz w:val="28"/>
      <w:szCs w:val="28"/>
    </w:rPr>
  </w:style>
  <w:style w:type="paragraph" w:styleId="BodyText">
    <w:name w:val="Body Text"/>
    <w:pPr>
      <w:widowControl/>
      <w:bidi w:val="0"/>
      <w:spacing w:before="0" w:after="0"/>
      <w:jc w:val="both"/>
    </w:pPr>
    <w:rPr>
      <w:rFonts w:ascii="Calibri" w:hAnsi="Calibri" w:eastAsia="Calibri" w:cs="Calibri"/>
      <w:color w:val="auto"/>
      <w:kern w:val="0"/>
      <w:sz w:val="24"/>
      <w:szCs w:val="20"/>
      <w:lang w:val="es-ES" w:eastAsia="zh-CN" w:bidi="ar-SA"/>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ndice" w:customStyle="1">
    <w:name w:val="Índice"/>
    <w:basedOn w:val="Normal"/>
    <w:qFormat/>
    <w:pPr>
      <w:suppressLineNumbers/>
    </w:pPr>
    <w:rPr/>
  </w:style>
  <w:style w:type="paragraph" w:styleId="NoSpacing">
    <w:name w:val="No Spacing"/>
    <w:uiPriority w:val="1"/>
    <w:qFormat/>
    <w:pPr>
      <w:widowControl/>
      <w:bidi w:val="0"/>
      <w:spacing w:lineRule="auto" w:line="240" w:before="0" w:after="0"/>
      <w:jc w:val="left"/>
    </w:pPr>
    <w:rPr>
      <w:rFonts w:ascii="Calibri" w:hAnsi="Calibri" w:eastAsia="Calibri" w:cs="Calib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Calibri" w:cs="Calib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LO-normal1"/>
    <w:uiPriority w:val="10"/>
    <w:qFormat/>
    <w:pPr>
      <w:keepNext w:val="true"/>
      <w:keepLines/>
      <w:spacing w:before="480" w:after="120"/>
    </w:pPr>
    <w:rPr>
      <w:b/>
      <w:sz w:val="72"/>
      <w:szCs w:val="72"/>
    </w:rPr>
  </w:style>
  <w:style w:type="paragraph" w:styleId="LO-normal1" w:customStyle="1">
    <w:name w:val="LO-normal1"/>
    <w:qFormat/>
    <w:pPr>
      <w:widowControl/>
      <w:bidi w:val="0"/>
      <w:spacing w:before="0" w:after="0"/>
      <w:jc w:val="left"/>
    </w:pPr>
    <w:rPr>
      <w:rFonts w:ascii="Calibri" w:hAnsi="Calibri" w:eastAsia="Calibri" w:cs="Calibri"/>
      <w:color w:val="auto"/>
      <w:kern w:val="0"/>
      <w:sz w:val="24"/>
      <w:szCs w:val="24"/>
      <w:lang w:val="es-MX" w:eastAsia="zh-CN" w:bidi="ar-SA"/>
    </w:rPr>
  </w:style>
  <w:style w:type="paragraph" w:styleId="Cabeceraypie">
    <w:name w:val="Cabecera y pie"/>
    <w:basedOn w:val="Normal"/>
    <w:qFormat/>
    <w:pPr/>
    <w:rPr/>
  </w:style>
  <w:style w:type="paragraph" w:styleId="Header">
    <w:name w:val="Header"/>
    <w:basedOn w:val="LO-normal1"/>
    <w:uiPriority w:val="99"/>
    <w:pPr>
      <w:tabs>
        <w:tab w:val="clear" w:pos="720"/>
        <w:tab w:val="center" w:pos="4419" w:leader="none"/>
        <w:tab w:val="right" w:pos="8838" w:leader="none"/>
      </w:tabs>
    </w:pPr>
    <w:rPr/>
  </w:style>
  <w:style w:type="paragraph" w:styleId="Footer">
    <w:name w:val="Footer"/>
    <w:basedOn w:val="LO-normal1"/>
    <w:uiPriority w:val="99"/>
    <w:pPr>
      <w:tabs>
        <w:tab w:val="clear" w:pos="720"/>
        <w:tab w:val="center" w:pos="4419" w:leader="none"/>
        <w:tab w:val="right" w:pos="8838" w:leader="none"/>
      </w:tabs>
    </w:pPr>
    <w:rPr/>
  </w:style>
  <w:style w:type="paragraph" w:styleId="NormalWeb">
    <w:name w:val="Normal (Web)"/>
    <w:basedOn w:val="LO-normal1"/>
    <w:uiPriority w:val="99"/>
    <w:qFormat/>
    <w:pPr>
      <w:spacing w:beforeAutospacing="1" w:afterAutospacing="1"/>
    </w:pPr>
    <w:rPr>
      <w:lang w:val="es-ES" w:eastAsia="es-ES"/>
    </w:rPr>
  </w:style>
  <w:style w:type="paragraph" w:styleId="BodyText2">
    <w:name w:val="Body Text 2"/>
    <w:basedOn w:val="LO-normal1"/>
    <w:qFormat/>
    <w:pPr>
      <w:spacing w:lineRule="auto" w:line="480" w:before="0" w:after="120"/>
    </w:pPr>
    <w:rPr/>
  </w:style>
  <w:style w:type="paragraph" w:styleId="DocumentMap">
    <w:name w:val="Document Map"/>
    <w:basedOn w:val="LO-normal1"/>
    <w:semiHidden/>
    <w:qFormat/>
    <w:pPr>
      <w:shd w:val="clear" w:color="auto" w:fill="000080"/>
    </w:pPr>
    <w:rPr>
      <w:rFonts w:ascii="Tahoma" w:hAnsi="Tahoma" w:cs="Tahoma"/>
      <w:sz w:val="20"/>
      <w:szCs w:val="20"/>
    </w:rPr>
  </w:style>
  <w:style w:type="paragraph" w:styleId="FootnoteText">
    <w:name w:val="Footnote Text"/>
    <w:basedOn w:val="LO-normal1"/>
    <w:semiHidden/>
    <w:pPr/>
    <w:rPr>
      <w:sz w:val="20"/>
      <w:szCs w:val="20"/>
    </w:rPr>
  </w:style>
  <w:style w:type="paragraph" w:styleId="BalloonText">
    <w:name w:val="Balloon Text"/>
    <w:basedOn w:val="LO-normal1"/>
    <w:qFormat/>
    <w:pPr/>
    <w:rPr>
      <w:rFonts w:ascii="Tahoma" w:hAnsi="Tahoma"/>
      <w:sz w:val="16"/>
      <w:szCs w:val="16"/>
    </w:rPr>
  </w:style>
  <w:style w:type="paragraph" w:styleId="ListParagraph">
    <w:name w:val="List Paragraph"/>
    <w:basedOn w:val="LO-normal1"/>
    <w:uiPriority w:val="34"/>
    <w:qFormat/>
    <w:pPr>
      <w:ind w:left="708"/>
    </w:pPr>
    <w:rPr/>
  </w:style>
  <w:style w:type="paragraph" w:styleId="AnnotationText">
    <w:name w:val="Annotation Text"/>
    <w:basedOn w:val="LO-normal1"/>
    <w:qFormat/>
    <w:pPr/>
    <w:rPr>
      <w:sz w:val="20"/>
      <w:szCs w:val="20"/>
    </w:rPr>
  </w:style>
  <w:style w:type="paragraph" w:styleId="annotationsubject">
    <w:name w:val="annotation subject"/>
    <w:basedOn w:val="AnnotationText"/>
    <w:qFormat/>
    <w:pPr/>
    <w:rPr>
      <w:b/>
      <w:bCs/>
    </w:rPr>
  </w:style>
  <w:style w:type="paragraph" w:styleId="Subtitle">
    <w:name w:val="Subtitle"/>
    <w:basedOn w:val="Normal"/>
    <w:uiPriority w:val="11"/>
    <w:qFormat/>
    <w:pPr>
      <w:keepNext w:val="true"/>
      <w:keepLines/>
      <w:pageBreakBefore w:val="false"/>
      <w:widowControl/>
      <w:pBdr/>
      <w:shd w:val="clear" w:color="auto" w:fill="auto"/>
      <w:spacing w:lineRule="auto" w:line="240"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LO-normal" w:customStyle="1">
    <w:name w:val="LO-normal"/>
    <w:qFormat/>
    <w:pPr>
      <w:widowControl/>
      <w:bidi w:val="0"/>
      <w:spacing w:before="0" w:after="0"/>
      <w:jc w:val="left"/>
    </w:pPr>
    <w:rPr>
      <w:rFonts w:ascii="Calibri" w:hAnsi="Calibri" w:eastAsia="Calibri" w:cs="Calibri"/>
      <w:color w:val="auto"/>
      <w:kern w:val="0"/>
      <w:sz w:val="24"/>
      <w:szCs w:val="24"/>
      <w:lang w:val="es-MX" w:eastAsia="zh-CN" w:bidi="ar-SA"/>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qfHtuwZpvvanKfd6DACt2R0mT5A==">CgMxLjA4AHIhMWFPQWk3R0QzTHA0WUNndnZQako5a1ZZOUtIbzhFQm45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466</Words>
  <Characters>2879</Characters>
  <CharactersWithSpaces>3340</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2021-09-28T14:42:00Z</dcterms:created>
  <dc:creator>User</dc:creator>
  <dc:description/>
  <dc:language>es-ES</dc:language>
  <cp:lastModifiedBy/>
  <dcterms:modified xsi:type="dcterms:W3CDTF">2025-12-05T08:48:46Z</dcterms:modified>
  <cp:revision>6</cp:revision>
  <dc:subject/>
  <dc:title/>
</cp:coreProperties>
</file>