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2024001214 de fecha 20 de mayo de 2024, suscrita por la Dirección de Rentas del Departamento de Casanare, la cual determina una obligación tributaria por concepto del no pago de impuesto sobre vehículos automotores al propietario del vehículo marca VENTO, modelo 2006, placa EJZ23B, correspondiente a las vigencias 2020, 2021,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0002-2025, con el fin de dar inicio al procedimiento administrativo de Cobro Coactivo en contra de FEINER YANSO BARBOSA RODRIGUEZ identificado (a) con cédula de ciudadanía y/o Nit. No. 79.126.622.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DOSCIENTOS VEINTIUN MIL NOVECIENTOS PESOS ($ 221.900,00) M/CTE., suma que no ha sido cancelada por el contribuyente, más sanción e intereses moratorios que se causen desde cuando se hizo exigible la obligación y hasta la fecha de su pago; de conformidad con la liquidación oficial de aforo No. 2024001214 de fecha 20 de mayo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FEINER YANSO BARBOSA RODRIGUEZ,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FEINER YANSO BARBOSA RODRIGUEZ identificado (a) con cédula de ciudadanía y/o Nit. No. 79.126.622 en calidad de propietario (a) del vehículo marca VENTO, modelo 2006, placa EJZ23B, por la suma de DOSCIENTOS VEINTIUN MIL NOVECIENTOS PESOS ($ 221.900,00)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$ 13.000,00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$ 15.700,00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$ 12.000,00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$ 12.000,00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$ 11.000,00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$ 8.200,00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0002-2025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22</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0002-2025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0002-2025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22</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0002-2025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