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13 de enero de 2026.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Ana Milena Arcos Uribe, Directora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w:t>
      </w:r>
      <w:r>
        <w:rPr>
          <w:rFonts w:cs="Arial" w:ascii="Arial" w:hAnsi="Arial"/>
          <w:lang w:val="es-ES"/>
        </w:rPr>
        <w:t>a</w:t>
      </w:r>
      <w:r>
        <w:rPr>
          <w:rFonts w:cs="Arial" w:ascii="Arial" w:hAnsi="Arial"/>
        </w:rPr>
        <w:t xml:space="preserve"> Técnic</w:t>
      </w:r>
      <w:r>
        <w:rPr>
          <w:rFonts w:cs="Arial" w:ascii="Arial" w:hAnsi="Arial"/>
          <w:lang w:val="es-ES"/>
        </w:rPr>
        <w:t>a</w:t>
      </w:r>
      <w:r>
        <w:rPr>
          <w:rFonts w:cs="Arial" w:ascii="Arial" w:hAnsi="Arial"/>
        </w:rPr>
        <w:t xml:space="preserve">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2026-001 de fecha 13 de enero de 2026, aprobó la liquidación del crédito dentro del proceso de cobro coactivo No. 2026-011, adelantado en contra del señor FABIO TRUJILLO ULLOA identificado con cédula de ciudadanía No. 1124821333,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0"/>
        <w:gridCol w:w="959"/>
        <w:gridCol w:w="1404"/>
        <w:gridCol w:w="1342"/>
        <w:gridCol w:w="1263"/>
        <w:gridCol w:w="1360"/>
        <w:gridCol w:w="1766"/>
      </w:tblGrid>
      <w:tr>
        <w:trPr>
          <w:trHeight w:val="293"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sz w:val="20"/>
                <w:szCs w:val="20"/>
                <w:lang w:val="es-MX" w:eastAsia="zh-CN" w:bidi="ar-SA"/>
              </w:rPr>
              <w:t>úo</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7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7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b/>
                <w:color w:val="000000"/>
                <w:sz w:val="16"/>
                <w:szCs w:val="16"/>
              </w:rPr>
              <w:t>2025</w:t>
            </w:r>
          </w:p>
        </w:tc>
        <w:tc>
          <w:tcPr>
            <w:tcW w:w="9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$9.831.933,00</w:t>
            </w:r>
          </w:p>
        </w:tc>
        <w:tc>
          <w:tcPr>
            <w:tcW w:w="1404" w:type="dxa"/>
            <w:tcBorders>
              <w:top w:val="single" w:sz="4" w:space="0" w:color="000000"/>
              <w:left w:val="single" w:sz="4" w:space="0" w:color="000000"/>
              <w:bottom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$25.000,00</w:t>
            </w:r>
          </w:p>
        </w:tc>
        <w:tc>
          <w:tcPr>
            <w:tcW w:w="13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Calibri" w:ascii="Arial" w:hAnsi="Arial"/>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Arial" w:ascii="Arial" w:hAnsi="Arial"/>
                <w:color w:val="000000"/>
                <w:sz w:val="16"/>
                <w:szCs w:val="16"/>
                <w:lang w:val="es-CO" w:eastAsia="es-CO"/>
              </w:rPr>
              <w:t>$50.000,00</w:t>
            </w:r>
          </w:p>
        </w:tc>
        <w:tc>
          <w:tcPr>
            <w:tcW w:w="13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$800,00</w:t>
            </w:r>
          </w:p>
        </w:tc>
        <w:tc>
          <w:tcPr>
            <w:tcW w:w="176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center"/>
              <w:rPr>
                <w:rFonts w:ascii="Arial" w:hAnsi="Arial"/>
                <w:sz w:val="16"/>
                <w:szCs w:val="16"/>
              </w:rPr>
            </w:pPr>
            <w:r>
              <w:rPr>
                <w:rFonts w:cs="Arial" w:ascii="Arial" w:hAnsi="Arial"/>
                <w:color w:val="000000"/>
                <w:sz w:val="16"/>
                <w:szCs w:val="16"/>
                <w:lang w:val="es-CO" w:eastAsia="es-CO"/>
              </w:rPr>
              <w:t>$75.800,00</w:t>
            </w:r>
          </w:p>
        </w:tc>
      </w:tr>
      <w:tr>
        <w:trPr>
          <w:trHeight w:val="293" w:hRule="atLeast"/>
        </w:trPr>
        <w:tc>
          <w:tcPr>
            <w:tcW w:w="16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404" w:type="dxa"/>
            <w:tcBorders>
              <w:top w:val="single" w:sz="4" w:space="0" w:color="000000"/>
              <w:left w:val="single" w:sz="4" w:space="0" w:color="000000"/>
              <w:bottom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shd w:fill="auto" w:val="clear"/>
                <w:lang w:val="es-CO" w:eastAsia="es-CO"/>
              </w:rPr>
              <w:t>$25.000,00</w:t>
            </w:r>
          </w:p>
        </w:tc>
        <w:tc>
          <w:tcPr>
            <w:tcW w:w="13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$50.000,00</w:t>
            </w:r>
          </w:p>
        </w:tc>
        <w:tc>
          <w:tcPr>
            <w:tcW w:w="1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$800,00</w:t>
            </w:r>
          </w:p>
        </w:tc>
        <w:tc>
          <w:tcPr>
            <w:tcW w:w="17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16"/>
                <w:szCs w:val="16"/>
              </w:rPr>
            </w:pPr>
            <w:r>
              <w:rPr>
                <w:rFonts w:cs="Calibri" w:ascii="Arial" w:hAnsi="Arial"/>
                <w:b/>
                <w:bCs/>
                <w:color w:val="000000"/>
                <w:sz w:val="16"/>
                <w:szCs w:val="16"/>
                <w:lang w:val="es-CO" w:eastAsia="es-CO"/>
              </w:rPr>
              <w:t>$75.800,00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20250022020,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FABIO TRUJILLO ULLOA</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16"/>
                <w:szCs w:val="16"/>
              </w:rPr>
            </w:pPr>
            <w:r>
              <w:rPr>
                <w:rFonts w:eastAsia="Arial" w:cs="Arial" w:ascii="Arial" w:hAnsi="Arial"/>
                <w:color w:val="030405"/>
                <w:sz w:val="16"/>
                <w:szCs w:val="16"/>
              </w:rPr>
              <w:t>20250022020</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color w:val="030405"/>
                <w:sz w:val="16"/>
                <w:szCs w:val="16"/>
              </w:rPr>
              <w:t>$20.000.000,00</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color w:val="030405"/>
                <w:sz w:val="16"/>
                <w:szCs w:val="16"/>
              </w:rPr>
              <w:t>$75.800,00</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color w:val="030405"/>
                <w:sz w:val="16"/>
                <w:szCs w:val="16"/>
              </w:rPr>
              <w:t>$19.924.200,00</w:t>
            </w:r>
          </w:p>
        </w:tc>
      </w:tr>
      <w:tr>
        <w:trPr/>
        <w:tc>
          <w:tcPr>
            <w:tcW w:w="1974" w:type="dxa"/>
            <w:gridSpan w:val="2"/>
            <w:tcBorders>
              <w:left w:val="single" w:sz="4" w:space="0" w:color="000000"/>
              <w:bottom w:val="single" w:sz="4" w:space="0" w:color="000000"/>
            </w:tcBorders>
          </w:tcPr>
          <w:p>
            <w:pPr>
              <w:pStyle w:val="Normal"/>
              <w:widowControl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jc w:val="center"/>
              <w:rPr>
                <w:rFonts w:ascii="Arial" w:hAnsi="Arial" w:eastAsia="Times New Roman" w:cs="Arial"/>
                <w:b/>
                <w:bCs/>
                <w:color w:val="030405"/>
                <w:sz w:val="16"/>
                <w:szCs w:val="16"/>
                <w:lang w:val="es-MX" w:eastAsia="zh-CN" w:bidi="ar-SA"/>
              </w:rPr>
            </w:pPr>
            <w:r>
              <w:rPr>
                <w:rFonts w:eastAsia="Times New Roman" w:cs="Arial" w:ascii="Arial" w:hAnsi="Arial"/>
                <w:b/>
                <w:bCs/>
                <w:color w:val="030405"/>
                <w:sz w:val="16"/>
                <w:szCs w:val="16"/>
                <w:lang w:val="es-MX" w:eastAsia="zh-CN" w:bidi="ar-SA"/>
              </w:rPr>
              <w:t>$20.000.000,00</w:t>
            </w:r>
          </w:p>
        </w:tc>
        <w:tc>
          <w:tcPr>
            <w:tcW w:w="2242" w:type="dxa"/>
            <w:tcBorders>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b/>
                <w:bCs/>
                <w:color w:val="030405"/>
                <w:sz w:val="16"/>
                <w:szCs w:val="16"/>
              </w:rPr>
              <w:t>$75.800,00</w:t>
            </w:r>
          </w:p>
        </w:tc>
        <w:tc>
          <w:tcPr>
            <w:tcW w:w="2226" w:type="dxa"/>
            <w:tcBorders>
              <w:left w:val="single" w:sz="4" w:space="0" w:color="000000"/>
              <w:bottom w:val="single" w:sz="4" w:space="0" w:color="000000"/>
              <w:right w:val="single" w:sz="4" w:space="0" w:color="000000"/>
            </w:tcBorders>
          </w:tcPr>
          <w:p>
            <w:pPr>
              <w:pStyle w:val="Normal"/>
              <w:widowControl w:val="false"/>
              <w:jc w:val="center"/>
              <w:rPr>
                <w:sz w:val="16"/>
                <w:szCs w:val="16"/>
              </w:rPr>
            </w:pPr>
            <w:r>
              <w:rPr>
                <w:rFonts w:cs="Arial" w:ascii="Arial" w:hAnsi="Arial"/>
                <w:b/>
                <w:bCs/>
                <w:color w:val="030405"/>
                <w:sz w:val="16"/>
                <w:szCs w:val="16"/>
              </w:rPr>
              <w:t>$19.924.200,00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2025 por el no pago del impuesto sobre vehículo automotor marca YAMAHA, modelo 2026, placa USB50H</w:t>
      </w:r>
    </w:p>
    <w:p>
      <w:pPr>
        <w:pStyle w:val="Normal"/>
        <w:jc w:val="both"/>
        <w:rPr>
          <w:rFonts w:ascii="Arial" w:hAnsi="Arial" w:cs="Arial"/>
        </w:rPr>
      </w:pPr>
      <w:r>
        <w:rPr>
          <w:rFonts w:cs="Arial" w:ascii="Arial" w:hAnsi="Arial"/>
        </w:rPr>
      </w:r>
    </w:p>
    <w:p>
      <w:pPr>
        <w:pStyle w:val="Normal"/>
        <w:jc w:val="both"/>
        <w:rPr/>
      </w:pPr>
      <w:r>
        <w:rPr>
          <w:rFonts w:cs="Arial" w:ascii="Arial" w:hAnsi="Arial"/>
        </w:rPr>
        <w:t>Cabe aclarar que la anterior liquidación se realiza con base en las declaraciones  generadas por el área de liquidación oficial, las cuales son anexadas al presente documento.</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MANÍ, CASANARE.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rPr>
      </w:pPr>
      <w:r>
        <w:rPr/>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 xml:space="preserve">Anexos: Declaraciones </w:t>
      </w:r>
      <w:r>
        <w:rPr>
          <w:rFonts w:cs="Arial" w:ascii="Arial" w:hAnsi="Arial"/>
          <w:color w:val="000000"/>
          <w:sz w:val="16"/>
          <w:szCs w:val="16"/>
        </w:rPr>
        <w:t>2025</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418" w:footer="709"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MEMORANDO</w:t>
    </w:r>
  </w:p>
  <w:p>
    <w:pPr>
      <w:pStyle w:val="Header"/>
      <w:jc w:val="right"/>
      <w:rPr>
        <w:sz w:val="20"/>
        <w:szCs w:val="20"/>
      </w:rPr>
    </w:pPr>
    <w:r>
      <w:rPr>
        <w:sz w:val="20"/>
        <w:szCs w:val="20"/>
      </w:rPr>
      <w:t>FO-GD-02</w:t>
    </w:r>
  </w:p>
  <w:p>
    <w:pPr>
      <w:pStyle w:val="Header"/>
      <w:jc w:val="right"/>
      <w:rPr>
        <w:sz w:val="20"/>
        <w:szCs w:val="20"/>
      </w:rPr>
    </w:pPr>
    <w:r>
      <w:rPr>
        <w:sz w:val="20"/>
        <w:szCs w:val="20"/>
      </w:rPr>
      <w:t>19-09-2024</w:t>
    </w:r>
  </w:p>
  <w:p>
    <w:pPr>
      <w:pStyle w:val="Header"/>
      <w:jc w:val="right"/>
      <w:rPr>
        <w:sz w:val="20"/>
        <w:szCs w:val="20"/>
      </w:rPr>
    </w:pPr>
    <w:r>
      <w:rPr>
        <w:sz w:val="20"/>
        <w:szCs w:val="20"/>
      </w:rPr>
      <w:t>V.02</w:t>
    </w:r>
  </w:p>
  <w:p>
    <w:pPr>
      <w:pStyle w:val="Header"/>
      <w:jc w:val="right"/>
      <w:rPr>
        <w:sz w:val="20"/>
        <w:szCs w:val="20"/>
      </w:rPr>
    </w:pPr>
    <w:r>
      <w:rPr>
        <w:sz w:val="20"/>
        <w:szCs w:val="20"/>
      </w:rPr>
    </w:r>
  </w:p>
  <w:p>
    <w:pPr>
      <w:pStyle w:val="Normal"/>
      <w:rPr/>
    </w:pPr>
    <w:r>
      <w:rPr/>
    </w:r>
  </w:p>
  <w:tbl>
    <w:tblPr>
      <w:tblW w:w="36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88"/>
    </w:tblGrid>
    <w:tr>
      <w:trPr>
        <w:trHeight w:val="31" w:hRule="atLeast"/>
      </w:trPr>
      <w:tc>
        <w:tcPr>
          <w:tcW w:w="3688" w:type="dxa"/>
          <w:tcBorders/>
        </w:tcPr>
        <w:p>
          <w:pPr>
            <w:pStyle w:val="Normal"/>
            <w:widowControl w:val="false"/>
            <w:jc w:val="center"/>
            <w:rPr>
              <w:rFonts w:ascii="Arial" w:hAnsi="Arial" w:cs="Arial"/>
            </w:rPr>
          </w:pPr>
          <w:r>
            <w:rPr>
              <w:rFonts w:cs="Arial" w:ascii="Arial" w:hAnsi="Arial"/>
            </w:rPr>
            <w:t>MEMORANDO No. 121212</w:t>
          </w:r>
        </w:p>
      </w:tc>
    </w:tr>
  </w:tbl>
  <w:p>
    <w:pPr>
      <w:pStyle w:val="Header"/>
      <w:tabs>
        <w:tab w:val="clear" w:pos="4419"/>
        <w:tab w:val="clear" w:pos="8838"/>
        <w:tab w:val="left" w:pos="4296" w:leader="none"/>
        <w:tab w:val="left" w:pos="7188"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MEMORANDO</w:t>
    </w:r>
  </w:p>
  <w:p>
    <w:pPr>
      <w:pStyle w:val="Header"/>
      <w:jc w:val="right"/>
      <w:rPr>
        <w:sz w:val="20"/>
        <w:szCs w:val="20"/>
      </w:rPr>
    </w:pPr>
    <w:r>
      <w:rPr>
        <w:sz w:val="20"/>
        <w:szCs w:val="20"/>
      </w:rPr>
      <w:t>FO-GD-02</w:t>
    </w:r>
  </w:p>
  <w:p>
    <w:pPr>
      <w:pStyle w:val="Header"/>
      <w:jc w:val="right"/>
      <w:rPr>
        <w:sz w:val="20"/>
        <w:szCs w:val="20"/>
      </w:rPr>
    </w:pPr>
    <w:r>
      <w:rPr>
        <w:sz w:val="20"/>
        <w:szCs w:val="20"/>
      </w:rPr>
      <w:t>19-09-2024</w:t>
    </w:r>
  </w:p>
  <w:p>
    <w:pPr>
      <w:pStyle w:val="Header"/>
      <w:jc w:val="right"/>
      <w:rPr>
        <w:sz w:val="20"/>
        <w:szCs w:val="20"/>
      </w:rPr>
    </w:pPr>
    <w:r>
      <w:rPr>
        <w:sz w:val="20"/>
        <w:szCs w:val="20"/>
      </w:rPr>
      <w:t>V.02</w:t>
    </w:r>
  </w:p>
  <w:p>
    <w:pPr>
      <w:pStyle w:val="Header"/>
      <w:jc w:val="right"/>
      <w:rPr>
        <w:sz w:val="20"/>
        <w:szCs w:val="20"/>
      </w:rPr>
    </w:pPr>
    <w:r>
      <w:rPr>
        <w:sz w:val="20"/>
        <w:szCs w:val="20"/>
      </w:rPr>
    </w:r>
  </w:p>
  <w:p>
    <w:pPr>
      <w:pStyle w:val="Normal"/>
      <w:rPr/>
    </w:pPr>
    <w:r>
      <w:rPr/>
    </w:r>
  </w:p>
  <w:tbl>
    <w:tblPr>
      <w:tblW w:w="36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88"/>
    </w:tblGrid>
    <w:tr>
      <w:trPr>
        <w:trHeight w:val="31" w:hRule="atLeast"/>
      </w:trPr>
      <w:tc>
        <w:tcPr>
          <w:tcW w:w="3688" w:type="dxa"/>
          <w:tcBorders/>
        </w:tcPr>
        <w:p>
          <w:pPr>
            <w:pStyle w:val="Normal"/>
            <w:widowControl w:val="false"/>
            <w:jc w:val="center"/>
            <w:rPr>
              <w:rFonts w:ascii="Arial" w:hAnsi="Arial" w:cs="Arial"/>
            </w:rPr>
          </w:pPr>
          <w:r>
            <w:rPr>
              <w:rFonts w:cs="Arial" w:ascii="Arial" w:hAnsi="Arial"/>
            </w:rPr>
            <w:t>MEMORANDO No. 121212</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none"/>
      <w:suff w:val="nothing"/>
      <w:lvlText w:val=""/>
      <w:lvlJc w:val="left"/>
      <w:pPr>
        <w:tabs>
          <w:tab w:val="num" w:pos="0"/>
        </w:tabs>
        <w:ind w:left="0" w:hanging="0"/>
      </w:pPr>
      <w:rPr/>
    </w:lvl>
    <w:lvl w:ilvl="1">
      <w:start w:val="1"/>
      <w:isLgl/>
      <w:numFmt w:val="none"/>
      <w:suff w:val="nothing"/>
      <w:lvlText w:val=""/>
      <w:lvlJc w:val="left"/>
      <w:pPr>
        <w:tabs>
          <w:tab w:val="num" w:pos="0"/>
        </w:tabs>
        <w:ind w:left="0" w:hanging="0"/>
      </w:pPr>
      <w:rPr/>
    </w:lvl>
    <w:lvl w:ilvl="2">
      <w:start w:val="1"/>
      <w:isLgl/>
      <w:numFmt w:val="none"/>
      <w:suff w:val="nothing"/>
      <w:lvlText w:val=""/>
      <w:lvlJc w:val="left"/>
      <w:pPr>
        <w:tabs>
          <w:tab w:val="num" w:pos="0"/>
        </w:tabs>
        <w:ind w:left="0" w:hanging="0"/>
      </w:pPr>
      <w:rPr/>
    </w:lvl>
    <w:lvl w:ilvl="3">
      <w:start w:val="1"/>
      <w:isLgl/>
      <w:numFmt w:val="none"/>
      <w:suff w:val="nothing"/>
      <w:lvlText w:val=""/>
      <w:lvlJc w:val="left"/>
      <w:pPr>
        <w:tabs>
          <w:tab w:val="num" w:pos="0"/>
        </w:tabs>
        <w:ind w:left="0" w:hanging="0"/>
      </w:pPr>
      <w:rPr/>
    </w:lvl>
    <w:lvl w:ilvl="4">
      <w:start w:val="1"/>
      <w:isLgl/>
      <w:numFmt w:val="none"/>
      <w:suff w:val="nothing"/>
      <w:lvlText w:val=""/>
      <w:lvlJc w:val="left"/>
      <w:pPr>
        <w:tabs>
          <w:tab w:val="num" w:pos="0"/>
        </w:tabs>
        <w:ind w:left="0" w:hanging="0"/>
      </w:pPr>
      <w:rPr/>
    </w:lvl>
    <w:lvl w:ilvl="5">
      <w:start w:val="1"/>
      <w:isLgl/>
      <w:numFmt w:val="none"/>
      <w:suff w:val="nothing"/>
      <w:lvlText w:val=""/>
      <w:lvlJc w:val="left"/>
      <w:pPr>
        <w:tabs>
          <w:tab w:val="num" w:pos="0"/>
        </w:tabs>
        <w:ind w:left="0" w:hanging="0"/>
      </w:pPr>
      <w:rPr/>
    </w:lvl>
    <w:lvl w:ilvl="6">
      <w:start w:val="1"/>
      <w:isLgl/>
      <w:numFmt w:val="none"/>
      <w:suff w:val="nothing"/>
      <w:lvlText w:val=""/>
      <w:lvlJc w:val="left"/>
      <w:pPr>
        <w:tabs>
          <w:tab w:val="num" w:pos="0"/>
        </w:tabs>
        <w:ind w:left="0" w:hanging="0"/>
      </w:pPr>
      <w:rPr/>
    </w:lvl>
    <w:lvl w:ilvl="7">
      <w:start w:val="1"/>
      <w:isLgl/>
      <w:numFmt w:val="none"/>
      <w:suff w:val="nothing"/>
      <w:lvlText w:val=""/>
      <w:lvlJc w:val="left"/>
      <w:pPr>
        <w:tabs>
          <w:tab w:val="num" w:pos="0"/>
        </w:tabs>
        <w:ind w:left="0" w:hanging="0"/>
      </w:pPr>
      <w:rPr/>
    </w:lvl>
    <w:lvl w:ilvl="8">
      <w:start w:val="1"/>
      <w:isLgl/>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qFormat/>
    <w:pPr>
      <w:numPr>
        <w:ilvl w:val="6"/>
        <w:numId w:val="1"/>
      </w:numPr>
      <w:spacing w:before="240" w:after="60"/>
      <w:outlineLvl w:val="6"/>
    </w:pPr>
    <w:rPr>
      <w:rFonts w:ascii="Calibri" w:hAnsi="Calibri" w:cs="Calibri"/>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Ttulo7Car">
    <w:name w:val="Título 7 Car"/>
    <w:qFormat/>
    <w:rPr>
      <w:rFonts w:ascii="Calibri" w:hAnsi="Calibri" w:cs="Calibri"/>
      <w:sz w:val="24"/>
      <w:szCs w:val="24"/>
      <w:lang w:val="es-MX"/>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jc w:val="both"/>
    </w:pPr>
    <w:rPr>
      <w:szCs w:val="20"/>
      <w:lang w:val="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color="auto" w:fill="000080"/>
    </w:pPr>
    <w:rPr>
      <w:rFonts w:ascii="Tahoma" w:hAnsi="Tahoma" w:cs="Tahoma"/>
      <w:sz w:val="20"/>
      <w:szCs w:val="20"/>
    </w:rPr>
  </w:style>
  <w:style w:type="paragraph" w:styleId="FootnoteText">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hanging="0" w:left="708" w:right="0"/>
    </w:pPr>
    <w:rPr/>
  </w:style>
  <w:style w:type="paragraph" w:styleId="Textocomentario">
    <w:name w:val="Texto comentario"/>
    <w:basedOn w:val="Normal"/>
    <w:qFormat/>
    <w:pPr/>
    <w:rPr>
      <w:sz w:val="20"/>
      <w:szCs w:val="20"/>
    </w:rPr>
  </w:style>
  <w:style w:type="paragraph" w:styleId="Asuntodelcomentario">
    <w:name w:val="Asunto del comentario"/>
    <w:basedOn w:val="Textocomentario"/>
    <w:qFormat/>
    <w:pPr/>
    <w:rPr>
      <w:b/>
      <w:bCs/>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Calibri" w:cs="Calibri"/>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ar-SA"/>
      <w14:ligatures w14:val="none"/>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2</Pages>
  <Words>313</Words>
  <Characters>2405</Characters>
  <CharactersWithSpaces>2667</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dcterms:modified xsi:type="dcterms:W3CDTF">2025-12-06T20:28:02Z</dcterms:modified>
  <cp:revision>48</cp:revision>
  <dc:subject/>
  <dc:title>1</dc:title>
</cp:coreProperties>
</file>