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13 de enero de 2026</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2026-011,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No.2026-001 de fecha 13 de enero de 2026, ordenó seguir adelante con la ejecución, en contra del señor FABIO TRUJILLO ULLOA identificado con cédula de ciudadanía No. 1124821333, por el no pago del impuesto sobre el vehículo automotor marca YAMAHA, modelo 2026, placa USB50H, correspondiente a las vigencias fiscales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2026-011</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FABIO TRUJILLO ULLOA</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1124821333</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2025</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$9.831.933,00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$25.000,00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$800,00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$75.800,00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$25.000,00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$50.000,00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$800,00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$75.800,00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SETENTA Y CINCO MIL OCHOCIENTOS PESOS ($75.800,00).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SETENTA Y CINCO MIL OCHOCIENTOS PESOS ($75.800,00), la suma que por concepto del crédito debe pagar a favor del Departamento de Casanare, el contribuyente FABIO TRUJILLO ULLOA identificado con cédula de ciudadanía No. 1124821333, valor que corresponde al impuesto, sanciones e intereses moratorios, causados hasta la fecha del presente auto, por el no pago del impuesto del vehículo de placa USB50H, correspondiente a las vigencias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2026-001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2026-001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