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14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2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22333 de fecha 14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