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14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DANIEL SANTIAGO PAEZ RIOS</w:t>
      </w:r>
    </w:p>
    <w:p>
      <w:pPr>
        <w:pStyle w:val="Normal"/>
        <w:jc w:val="both"/>
        <w:rPr>
          <w:rFonts w:ascii="Arial" w:hAnsi="Arial" w:cs="Arial"/>
        </w:rPr>
      </w:pPr>
      <w:r>
        <w:rPr>
          <w:rFonts w:cs="Arial" w:ascii="Arial" w:hAnsi="Arial"/>
        </w:rPr>
        <w:t>         calle 25 # 12a-36 </w:t>
      </w:r>
    </w:p>
    <w:p>
      <w:pPr>
        <w:pStyle w:val="Normal"/>
        <w:jc w:val="both"/>
        <w:rPr>
          <w:rFonts w:ascii="Arial" w:hAnsi="Arial" w:cs="Arial"/>
        </w:rPr>
      </w:pPr>
      <w:r>
        <w:rPr>
          <w:rFonts w:cs="Arial" w:ascii="Arial" w:hAnsi="Arial"/>
        </w:rPr>
        <w:t>VILLANUEVA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2026-012 de fecha 14 de enero de 2026, el cual se profirió dentro del proceso de Cobro Coactivo No. 2026-012, adelantado en su contra, por el no pago de impuesto sobre vehículos automotores, correspondiente a las vigencias 2025 del vehículo de placa MFF01H.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