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C9211E"/>
        </w:rPr>
      </w:pPr>
      <w:r>
        <w:rPr>
          <w:rFonts w:cs="Arial" w:ascii="Arial" w:hAnsi="Arial"/>
          <w:bCs/>
          <w:color w:val="C9211E"/>
          <w:sz w:val="22"/>
          <w:szCs w:val="22"/>
          <w:lang w:val="es-ES"/>
        </w:rPr>
        <w:t>LA</w:t>
      </w:r>
      <w:r>
        <w:rPr>
          <w:rFonts w:cs="Arial" w:ascii="Arial" w:hAnsi="Arial"/>
          <w:bCs/>
          <w:color w:val="C9211E"/>
          <w:sz w:val="22"/>
          <w:szCs w:val="22"/>
        </w:rPr>
        <w:t xml:space="preserve"> DIRECTOR</w:t>
      </w:r>
      <w:r>
        <w:rPr>
          <w:rFonts w:cs="Arial" w:ascii="Arial" w:hAnsi="Arial"/>
          <w:bCs/>
          <w:color w:val="C9211E"/>
          <w:sz w:val="22"/>
          <w:szCs w:val="22"/>
          <w:lang w:val="es-ES"/>
        </w:rPr>
        <w:t>A</w:t>
      </w:r>
      <w:r>
        <w:rPr>
          <w:rFonts w:cs="Arial" w:ascii="Arial" w:hAnsi="Arial"/>
          <w:bCs/>
          <w:color w:val="C9211E"/>
          <w:sz w:val="22"/>
          <w:szCs w:val="22"/>
        </w:rPr>
        <w:t xml:space="preserve"> TÉCNIC</w:t>
      </w:r>
      <w:r>
        <w:rPr>
          <w:rFonts w:cs="Arial" w:ascii="Arial" w:hAnsi="Arial"/>
          <w:bCs/>
          <w:color w:val="C9211E"/>
          <w:sz w:val="22"/>
          <w:szCs w:val="22"/>
          <w:lang w:val="es-ES"/>
        </w:rPr>
        <w:t>A</w:t>
      </w:r>
      <w:r>
        <w:rPr>
          <w:rFonts w:cs="Arial" w:ascii="Arial" w:hAnsi="Arial"/>
          <w:bCs/>
          <w:color w:val="C9211E"/>
          <w:sz w:val="22"/>
          <w:szCs w:val="22"/>
        </w:rPr>
        <w:t xml:space="preserve"> DE COBRO COACTIVO DEL DEPARTAMENTO DE CASANARE</w:t>
      </w:r>
    </w:p>
    <w:p>
      <w:pPr>
        <w:pStyle w:val="Normal"/>
        <w:jc w:val="center"/>
        <w:rPr>
          <w:rFonts w:ascii="Arial" w:hAnsi="Arial" w:cs="Arial"/>
          <w:bCs/>
          <w:color w:val="C9211E"/>
          <w:sz w:val="22"/>
          <w:szCs w:val="22"/>
        </w:rPr>
      </w:pPr>
      <w:r>
        <w:rPr>
          <w:rFonts w:cs="Arial" w:ascii="Arial" w:hAnsi="Arial"/>
          <w:bCs/>
          <w:color w:val="C9211E"/>
          <w:sz w:val="22"/>
          <w:szCs w:val="22"/>
        </w:rPr>
      </w:r>
    </w:p>
    <w:p>
      <w:pPr>
        <w:pStyle w:val="Normal"/>
        <w:widowControl w:val="false"/>
        <w:tabs>
          <w:tab w:val="clear" w:pos="708"/>
          <w:tab w:val="center" w:pos="4419" w:leader="none"/>
          <w:tab w:val="left" w:pos="6794" w:leader="none"/>
        </w:tabs>
        <w:jc w:val="center"/>
        <w:rPr>
          <w:color w:val="C9211E"/>
        </w:rPr>
      </w:pPr>
      <w:r>
        <w:rPr>
          <w:rFonts w:eastAsia="Arial" w:cs="Arial" w:ascii="Arial" w:hAnsi="Arial"/>
          <w:color w:val="C9211E"/>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color w:val="C9211E"/>
        </w:rPr>
      </w:pPr>
      <w:r>
        <w:rPr>
          <w:rFonts w:cs="Arial" w:ascii="Arial" w:hAnsi="Arial"/>
          <w:bCs/>
          <w:color w:val="C9211E"/>
          <w:sz w:val="22"/>
          <w:szCs w:val="22"/>
        </w:rPr>
        <w:t>CONSIDERANDO</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Que en la Dirección de Cobro Coactivo se adelanta proceso coactivo No. </w:t>
      </w:r>
      <w:r>
        <w:rPr>
          <w:rFonts w:cs="Arial" w:ascii="Arial" w:hAnsi="Arial"/>
          <w:color w:val="C9211E"/>
          <w:sz w:val="22"/>
          <w:szCs w:val="22"/>
        </w:rPr>
        <w:t>2026-013</w:t>
      </w:r>
      <w:r>
        <w:rPr>
          <w:rFonts w:cs="Arial" w:ascii="Arial" w:hAnsi="Arial"/>
          <w:color w:val="C9211E"/>
          <w:sz w:val="22"/>
          <w:szCs w:val="22"/>
        </w:rPr>
        <w:t xml:space="preserve">, en contra de MARIA JOSE RODRIGUEZ GONZALEZ identificado (a) con cédula de ciudadanía No. 1.122.918.825, por concepto del no pago de impuesto sobre el vehículo automotor marca </w:t>
      </w:r>
      <w:r>
        <w:rPr>
          <w:rFonts w:cs="Arial" w:ascii="Arial" w:hAnsi="Arial"/>
          <w:color w:val="C9211E"/>
          <w:sz w:val="22"/>
          <w:szCs w:val="22"/>
        </w:rPr>
        <w:t>YAMAHA</w:t>
      </w:r>
      <w:r>
        <w:rPr>
          <w:rFonts w:cs="Arial" w:ascii="Arial" w:hAnsi="Arial"/>
          <w:color w:val="C9211E"/>
          <w:sz w:val="22"/>
          <w:szCs w:val="22"/>
        </w:rPr>
        <w:t xml:space="preserve">, modelo </w:t>
      </w:r>
      <w:r>
        <w:rPr>
          <w:rFonts w:cs="Arial" w:ascii="Arial" w:hAnsi="Arial"/>
          <w:color w:val="C9211E"/>
          <w:sz w:val="22"/>
          <w:szCs w:val="22"/>
        </w:rPr>
        <w:t>2026</w:t>
      </w:r>
      <w:r>
        <w:rPr>
          <w:rFonts w:cs="Arial" w:ascii="Arial" w:hAnsi="Arial"/>
          <w:color w:val="C9211E"/>
          <w:sz w:val="22"/>
          <w:szCs w:val="22"/>
        </w:rPr>
        <w:t xml:space="preserve">, placa </w:t>
      </w:r>
      <w:r>
        <w:rPr>
          <w:rFonts w:cs="Arial" w:ascii="Arial" w:hAnsi="Arial"/>
          <w:color w:val="C9211E"/>
          <w:sz w:val="22"/>
          <w:szCs w:val="22"/>
        </w:rPr>
        <w:t>USB93H</w:t>
      </w:r>
      <w:r>
        <w:rPr>
          <w:rFonts w:cs="Arial" w:ascii="Arial" w:hAnsi="Arial"/>
          <w:color w:val="C9211E"/>
          <w:sz w:val="22"/>
          <w:szCs w:val="22"/>
        </w:rPr>
        <w:t>, correspondiente a las vigencias 2025.</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Que, en el marco del proceso administrativo de cobro coactivo antes referido, se libró el auto de mandamiento de pago No. 2026-013 de fecha 14 de enero de 2026, a favor del Departamento de Casanare y en contra de MARIA JOSE RODRIGUEZ GONZALEZ identificado (a) con cédula de ciudadanía No. 1.122.918.825.</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Que de acuerdo a la liquidación de impuesto sobre vehículos automotores de fecha </w:t>
      </w:r>
      <w:r>
        <w:rPr>
          <w:rFonts w:cs="Arial" w:ascii="Arial" w:hAnsi="Arial"/>
          <w:color w:val="C9211E"/>
          <w:sz w:val="22"/>
          <w:szCs w:val="22"/>
        </w:rPr>
        <w:t>14 de enero de 2026</w:t>
      </w:r>
      <w:r>
        <w:rPr>
          <w:rFonts w:cs="Arial" w:ascii="Arial" w:hAnsi="Arial"/>
          <w:color w:val="C9211E"/>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ind w:hanging="0" w:left="0"/>
        <w:jc w:val="both"/>
        <w:outlineLvl w:val="0"/>
        <w:rPr>
          <w:color w:val="C9211E"/>
        </w:rPr>
      </w:pPr>
      <w:r>
        <w:rPr>
          <w:rFonts w:cs="Arial" w:ascii="Arial" w:hAnsi="Arial"/>
          <w:color w:val="C9211E"/>
          <w:sz w:val="22"/>
          <w:szCs w:val="22"/>
        </w:rPr>
        <w:t xml:space="preserve">Que, en mérito de lo expuesto el Despacho, </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numPr>
          <w:ilvl w:val="0"/>
          <w:numId w:val="0"/>
        </w:numPr>
        <w:ind w:hanging="0" w:left="0"/>
        <w:jc w:val="center"/>
        <w:outlineLvl w:val="0"/>
        <w:rPr>
          <w:color w:val="C9211E"/>
        </w:rPr>
      </w:pPr>
      <w:r>
        <w:rPr>
          <w:rFonts w:cs="Arial" w:ascii="Arial" w:hAnsi="Arial"/>
          <w:color w:val="C9211E"/>
          <w:sz w:val="22"/>
          <w:szCs w:val="22"/>
        </w:rPr>
        <w:t>RESUELVE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jc w:val="both"/>
        <w:rPr>
          <w:color w:val="C9211E"/>
        </w:rPr>
      </w:pPr>
      <w:r>
        <w:rPr>
          <w:rFonts w:cs="Arial" w:ascii="Arial" w:hAnsi="Arial"/>
          <w:color w:val="C9211E"/>
          <w:sz w:val="22"/>
          <w:szCs w:val="22"/>
        </w:rPr>
        <w:t>ARTÍCULO 4: La presente Resolución rige a partir de la fecha de su expedición.</w:t>
      </w:r>
    </w:p>
    <w:p>
      <w:pPr>
        <w:pStyle w:val="Normal"/>
        <w:widowControl w:val="false"/>
        <w:rPr>
          <w:rFonts w:ascii="Arial" w:hAnsi="Arial" w:cs="Arial"/>
          <w:color w:val="C9211E"/>
          <w:sz w:val="22"/>
          <w:szCs w:val="22"/>
        </w:rPr>
      </w:pPr>
      <w:r>
        <w:rPr>
          <w:rFonts w:cs="Arial" w:ascii="Arial" w:hAnsi="Arial"/>
          <w:color w:val="C9211E"/>
          <w:sz w:val="22"/>
          <w:szCs w:val="22"/>
        </w:rPr>
      </w:r>
    </w:p>
    <w:p>
      <w:pPr>
        <w:pStyle w:val="Normal"/>
        <w:widowControl w:val="false"/>
        <w:jc w:val="center"/>
        <w:rPr>
          <w:color w:val="C9211E"/>
        </w:rPr>
      </w:pPr>
      <w:r>
        <w:rPr>
          <w:rFonts w:cs="Arial" w:ascii="Arial" w:hAnsi="Arial"/>
          <w:color w:val="C9211E"/>
          <w:sz w:val="22"/>
          <w:szCs w:val="22"/>
        </w:rPr>
        <w:t>COMUNÍQUESE Y CÚMPLASE</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color w:val="C9211E"/>
        </w:rPr>
      </w:pPr>
      <w:r>
        <w:rPr>
          <w:rFonts w:cs="Arial" w:ascii="Arial" w:hAnsi="Arial"/>
          <w:color w:val="C9211E"/>
          <w:sz w:val="22"/>
          <w:szCs w:val="22"/>
        </w:rPr>
        <w:t>Dada en Yopal Casanare, a los</w:t>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p>
      <w:pPr>
        <w:pStyle w:val="Normal"/>
        <w:widowControl w:val="false"/>
        <w:jc w:val="both"/>
        <w:rPr>
          <w:rFonts w:ascii="Arial" w:hAnsi="Arial" w:cs="Arial"/>
          <w:color w:val="C9211E"/>
          <w:sz w:val="22"/>
          <w:szCs w:val="22"/>
        </w:rPr>
      </w:pPr>
      <w:r>
        <w:rPr>
          <w:rFonts w:cs="Arial" w:ascii="Arial" w:hAnsi="Arial"/>
          <w:color w:val="C9211E"/>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C9211E"/>
              </w:rPr>
            </w:pPr>
            <w:r>
              <w:rPr>
                <w:rFonts w:ascii="Arial" w:hAnsi="Arial"/>
                <w:color w:val="C9211E"/>
                <w:sz w:val="20"/>
                <w:szCs w:val="20"/>
              </w:rPr>
              <w:t>${firmadirectorcoactivo}</w:t>
            </w:r>
          </w:p>
          <w:p>
            <w:pPr>
              <w:pStyle w:val="LO-normal"/>
              <w:jc w:val="center"/>
              <w:rPr>
                <w:color w:val="C9211E"/>
              </w:rPr>
            </w:pPr>
            <w:r>
              <w:rPr>
                <w:rFonts w:ascii="Arial" w:hAnsi="Arial"/>
                <w:color w:val="C9211E"/>
                <w:sz w:val="20"/>
                <w:szCs w:val="20"/>
              </w:rPr>
              <w:t>${textofirmadirectorcoactivo}</w:t>
            </w:r>
          </w:p>
          <w:p>
            <w:pPr>
              <w:pStyle w:val="LO-normal"/>
              <w:jc w:val="center"/>
              <w:rPr>
                <w:color w:val="C9211E"/>
              </w:rPr>
            </w:pPr>
            <w:r>
              <w:rPr>
                <w:rFonts w:ascii="Arial" w:hAnsi="Arial"/>
                <w:color w:val="C9211E"/>
                <w:sz w:val="22"/>
                <w:szCs w:val="22"/>
              </w:rPr>
              <w:t>DIANA YESENIA NOSSA FUENTES</w:t>
            </w:r>
          </w:p>
          <w:p>
            <w:pPr>
              <w:pStyle w:val="LO-normal"/>
              <w:jc w:val="center"/>
              <w:rPr>
                <w:color w:val="C9211E"/>
              </w:rPr>
            </w:pPr>
            <w:r>
              <w:rPr>
                <w:rFonts w:ascii="Arial" w:hAnsi="Arial"/>
                <w:color w:val="C9211E"/>
                <w:sz w:val="22"/>
                <w:szCs w:val="22"/>
              </w:rPr>
              <w:t>Directora Técnica de Cobro Coactivo</w:t>
            </w:r>
          </w:p>
        </w:tc>
      </w:tr>
      <w:tr>
        <w:trPr/>
        <w:tc>
          <w:tcPr>
            <w:tcW w:w="4515" w:type="dxa"/>
            <w:tcBorders/>
          </w:tcPr>
          <w:p>
            <w:pPr>
              <w:pStyle w:val="LO-normal"/>
              <w:jc w:val="center"/>
              <w:rPr>
                <w:color w:val="C9211E"/>
              </w:rPr>
            </w:pPr>
            <w:r>
              <w:rPr>
                <w:rFonts w:ascii="Arial" w:hAnsi="Arial"/>
                <w:color w:val="C9211E"/>
                <w:sz w:val="20"/>
                <w:szCs w:val="20"/>
              </w:rPr>
              <w:t>${firmaproyectacoactivo}</w:t>
            </w:r>
          </w:p>
          <w:p>
            <w:pPr>
              <w:pStyle w:val="LO-normal"/>
              <w:jc w:val="center"/>
              <w:rPr>
                <w:color w:val="C9211E"/>
              </w:rPr>
            </w:pPr>
            <w:r>
              <w:rPr>
                <w:rFonts w:ascii="Arial" w:hAnsi="Arial"/>
                <w:color w:val="C9211E"/>
                <w:sz w:val="20"/>
                <w:szCs w:val="20"/>
              </w:rPr>
              <w:t>${textofirmaproyectacoactivo}</w:t>
            </w:r>
          </w:p>
          <w:p>
            <w:pPr>
              <w:pStyle w:val="LO-normal"/>
              <w:jc w:val="both"/>
              <w:rPr>
                <w:color w:val="C9211E"/>
              </w:rPr>
            </w:pPr>
            <w:r>
              <w:rPr>
                <w:rFonts w:ascii="Arial" w:hAnsi="Arial"/>
                <w:color w:val="C9211E"/>
                <w:sz w:val="22"/>
                <w:szCs w:val="22"/>
              </w:rPr>
              <w:t>Proyectó: HUGO RAMON QUINTERO GOMEZ</w:t>
            </w:r>
          </w:p>
          <w:p>
            <w:pPr>
              <w:pStyle w:val="LO-normal"/>
              <w:jc w:val="both"/>
              <w:rPr>
                <w:color w:val="C9211E"/>
              </w:rPr>
            </w:pPr>
            <w:r>
              <w:rPr>
                <w:rFonts w:ascii="Arial" w:hAnsi="Arial"/>
                <w:color w:val="C9211E"/>
                <w:sz w:val="22"/>
                <w:szCs w:val="22"/>
              </w:rPr>
              <w:t>Cargo: Profesional Universitario</w:t>
            </w:r>
          </w:p>
        </w:tc>
        <w:tc>
          <w:tcPr>
            <w:tcW w:w="4605" w:type="dxa"/>
            <w:tcBorders/>
          </w:tcPr>
          <w:p>
            <w:pPr>
              <w:pStyle w:val="LO-normal"/>
              <w:jc w:val="center"/>
              <w:rPr>
                <w:color w:val="C9211E"/>
              </w:rPr>
            </w:pPr>
            <w:r>
              <w:rPr>
                <w:rFonts w:ascii="Arial" w:hAnsi="Arial"/>
                <w:color w:val="C9211E"/>
                <w:sz w:val="20"/>
                <w:szCs w:val="20"/>
              </w:rPr>
              <w:t>${firmarevisacoactivo}</w:t>
            </w:r>
          </w:p>
          <w:p>
            <w:pPr>
              <w:pStyle w:val="LO-normal"/>
              <w:jc w:val="center"/>
              <w:rPr>
                <w:color w:val="C9211E"/>
              </w:rPr>
            </w:pPr>
            <w:r>
              <w:rPr>
                <w:rFonts w:ascii="Arial" w:hAnsi="Arial"/>
                <w:color w:val="C9211E"/>
                <w:sz w:val="20"/>
                <w:szCs w:val="20"/>
              </w:rPr>
              <w:t>${textofirmarevisacoactivo}</w:t>
            </w:r>
          </w:p>
          <w:p>
            <w:pPr>
              <w:pStyle w:val="LO-normal"/>
              <w:jc w:val="both"/>
              <w:rPr>
                <w:color w:val="C9211E"/>
              </w:rPr>
            </w:pPr>
            <w:r>
              <w:rPr>
                <w:rFonts w:ascii="Arial" w:hAnsi="Arial"/>
                <w:color w:val="C9211E"/>
                <w:sz w:val="22"/>
                <w:szCs w:val="22"/>
              </w:rPr>
              <w:t>Revisó: DONALDO CEDEÑO DIAZ</w:t>
            </w:r>
          </w:p>
          <w:p>
            <w:pPr>
              <w:pStyle w:val="LO-normal"/>
              <w:jc w:val="both"/>
              <w:rPr>
                <w:color w:val="C9211E"/>
              </w:rPr>
            </w:pPr>
            <w:r>
              <w:rPr>
                <w:rFonts w:ascii="Arial" w:hAnsi="Arial"/>
                <w:color w:val="C9211E"/>
                <w:sz w:val="22"/>
                <w:szCs w:val="22"/>
              </w:rPr>
              <w:t>Cargo: Profesional de Apoyo Cto 0018 de 2024</w:t>
            </w:r>
          </w:p>
        </w:tc>
      </w:tr>
    </w:tbl>
    <w:p>
      <w:pPr>
        <w:pStyle w:val="Normal"/>
        <w:widowControl w:val="false"/>
        <w:jc w:val="both"/>
        <w:rPr>
          <w:rFonts w:ascii="Arial" w:hAnsi="Arial" w:cs="Arial"/>
          <w:color w:val="C9211E"/>
          <w:sz w:val="22"/>
          <w:szCs w:val="22"/>
        </w:rPr>
      </w:pPr>
      <w:r>
        <w:rPr>
          <w:rFonts w:cs="Arial" w:ascii="Arial" w:hAnsi="Arial"/>
          <w:color w:val="C9211E"/>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color w:val="C9211E"/>
            </w:rPr>
          </w:pPr>
          <w:r>
            <w:rPr>
              <w:rFonts w:cs="Arial" w:ascii="Arial" w:hAnsi="Arial"/>
              <w:color w:val="C9211E"/>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color w:val="C9211E"/>
            </w:rPr>
          </w:pPr>
          <w:r>
            <w:rPr>
              <w:rFonts w:cs="Arial" w:ascii="Arial" w:hAnsi="Arial"/>
              <w:color w:val="C9211E"/>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560</Words>
  <Characters>3159</Characters>
  <CharactersWithSpaces>3676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2026-01-14T17:10:18Z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