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color w:val="C9211E"/>
          <w:sz w:val="20"/>
          <w:szCs w:val="20"/>
        </w:rPr>
      </w:pPr>
      <w:r>
        <w:rPr>
          <w:rFonts w:ascii="Arial" w:hAnsi="Arial"/>
          <w:color w:val="C9211E"/>
          <w:sz w:val="20"/>
          <w:szCs w:val="20"/>
        </w:rPr>
      </w:r>
    </w:p>
    <w:p>
      <w:pPr>
        <w:pStyle w:val="LO-normal"/>
        <w:jc w:val="center"/>
        <w:rPr>
          <w:color w:val="C9211E"/>
        </w:rPr>
      </w:pPr>
      <w:r>
        <w:rPr>
          <w:rFonts w:ascii="Arial" w:hAnsi="Arial"/>
          <w:color w:val="C9211E"/>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2026-013,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LibreOffice/24.2.7.2$Linux_X86_64 LibreOffice_project/420$Build-2</Application>
  <AppVersion>15.0000</AppVersion>
  <Pages>2</Pages>
  <Words>756</Words>
  <Characters>4297</Characters>
  <CharactersWithSpaces>5007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2026-01-14T14:40:51Z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