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01103-2026</w:t>
      </w:r>
      <w:r>
        <w:rPr>
          <w:rFonts w:cs="Arial" w:ascii="Arial" w:hAnsi="Arial"/>
          <w:sz w:val="22"/>
          <w:szCs w:val="22"/>
        </w:rPr>
        <w:t xml:space="preserve">, en contra de REINALDO ROMERO LEON identificado (a) con cédula de ciudadanía No. 5.633.979, por concepto del no pago de impuesto sobre el vehículo automotor marca </w:t>
      </w:r>
      <w:r>
        <w:rPr>
          <w:rFonts w:cs="Arial" w:ascii="Arial" w:hAnsi="Arial"/>
          <w:color w:themeColor="text1" w:val="000000"/>
          <w:sz w:val="22"/>
          <w:szCs w:val="22"/>
        </w:rPr>
        <w:t>AUTECO</w:t>
      </w:r>
      <w:r>
        <w:rPr>
          <w:rFonts w:cs="Arial" w:ascii="Arial" w:hAnsi="Arial"/>
          <w:sz w:val="22"/>
          <w:szCs w:val="22"/>
        </w:rPr>
        <w:t xml:space="preserve">, modelo </w:t>
      </w:r>
      <w:r>
        <w:rPr>
          <w:rFonts w:cs="Arial" w:ascii="Arial" w:hAnsi="Arial"/>
          <w:color w:themeColor="text1" w:val="000000"/>
          <w:sz w:val="22"/>
          <w:szCs w:val="22"/>
        </w:rPr>
        <w:t>2011</w:t>
      </w:r>
      <w:r>
        <w:rPr>
          <w:rFonts w:cs="Arial" w:ascii="Arial" w:hAnsi="Arial"/>
          <w:sz w:val="22"/>
          <w:szCs w:val="22"/>
        </w:rPr>
        <w:t xml:space="preserve">, placa </w:t>
      </w:r>
      <w:r>
        <w:rPr>
          <w:rFonts w:cs="Arial" w:ascii="Arial" w:hAnsi="Arial"/>
          <w:color w:themeColor="text1" w:val="000000"/>
          <w:sz w:val="22"/>
          <w:szCs w:val="22"/>
        </w:rPr>
        <w:t>HFY14C</w:t>
      </w:r>
      <w:r>
        <w:rPr>
          <w:rFonts w:cs="Arial" w:ascii="Arial" w:hAnsi="Arial"/>
          <w:sz w:val="22"/>
          <w:szCs w:val="22"/>
        </w:rPr>
        <w:t>, correspondiente a las vigencias 2020, 2021, 2022</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02026 de fecha 16 de enero de 2026, a favor del Departamento de Casanare y en contra de REINALDO ROMERO LEON identificado (a) con cédula de ciudadanía No. 5.633.979.</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16 de enero de 2026</w:t>
      </w:r>
      <w:r>
        <w:rPr>
          <w:rFonts w:cs="Arial" w:ascii="Arial" w:hAnsi="Arial"/>
          <w:sz w:val="22"/>
          <w:szCs w:val="22"/>
        </w:rPr>
        <w:t>, a la fecha, la deuda asciende al valor de TRESCIENTOS CINCO MIL QUINIENTOS PESOS ($305.500,00)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REINALDO ROMERO LEON identificado (a) con cédula de ciudadanía No. 5.633.979,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SEISCIENTOS ONCE MIL PESOS ($611.000,00)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color w:val="#000000"/>
                <w:sz w:val="20"/>
                <w:szCs w:val="20"/>
              </w:rPr>
              <w:t xml:space="preserve">Firmado electrónicamente el 2026-01-16 11:02:06</w:t>
            </w:r>
          </w:p>
          <w:p>
            <w:pPr>
              <w:pStyle w:val="LO-normal"/>
              <w:jc w:val="both"/>
              <w:rPr>
                <w:color w:val="000000"/>
              </w:rPr>
            </w:pPr>
            <w:r>
              <w:rPr>
                <w:rFonts w:ascii="Arial" w:hAnsi="Arial"/>
                <w:color w:val="000000"/>
                <w:sz w:val="22"/>
                <w:szCs w:val="22"/>
              </w:rPr>
              <w:t>Proyectó: JOHN ALEXANDER CASTILLO PEREZ</w:t>
            </w:r>
          </w:p>
          <w:p>
            <w:pPr>
              <w:pStyle w:val="LO-normal"/>
              <w:jc w:val="both"/>
              <w:rPr>
                <w:color w:val="000000"/>
              </w:rPr>
            </w:pPr>
            <w:r>
              <w:rPr>
                <w:rFonts w:ascii="Arial" w:hAnsi="Arial"/>
                <w:color w:val="000000"/>
                <w:sz w:val="22"/>
                <w:szCs w:val="22"/>
              </w:rPr>
              <w:t>Cargo: Profesional Universitario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HUGO RAMON QUINTERO GOMEZ</w:t>
            </w:r>
          </w:p>
          <w:p>
            <w:pPr>
              <w:pStyle w:val="LO-normal"/>
              <w:jc w:val="both"/>
              <w:rPr>
                <w:color w:val="000000"/>
              </w:rPr>
            </w:pPr>
            <w:r>
              <w:rPr>
                <w:rFonts w:ascii="Arial" w:hAnsi="Arial"/>
                <w:color w:val="000000"/>
                <w:sz w:val="22"/>
                <w:szCs w:val="22"/>
              </w:rPr>
              <w:t>Cargo: Profesional Universitario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No.44000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No.44000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