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2024001401 de fecha 13 de junio de 2024, suscrita por la Dirección de Rentas del Departamento de Casanare, la cual determina una obligación tributaria por concepto del no pago de impuesto sobre vehículos automotores al propietario del vehículo marca AUTECO, modelo 2011, placa HFY14C, correspondiente a las vigencias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01103-2026, con el fin de dar inicio al procedimiento administrativo de Cobro Coactivo en contra de REINALDO ROMERO LEON identificado (a) con cédula de ciudadanía y/o Nit. No. 5.633.979.</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TRESCIENTOS CINCO MIL QUINIENTOS PESOS ($ 305.500,00) M/CTE., suma que no ha sido cancelada por el contribuyente, más sanción e intereses moratorios que se causen desde cuando se hizo exigible la obligación y hasta la fecha de su pago; de conformidad con la liquidación oficial de aforo No. 2024001401 de fecha 13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REINALDO ROMERO LEON,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REINALDO ROMERO LEON identificado (a) con cédula de ciudadanía y/o Nit. No. 5.633.979 en calidad de propietario (a) del vehículo marca AUTECO, modelo 2011, placa HFY14C, por la suma de TRESCIENTOS CINCO MIL QUINIENTOS PESOS ($ 305.500,00)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$ 28.000,00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$ 33.800,00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$ 25.900,00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$ 17.800,00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02026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01103-2026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02026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01103-2026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