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20 de diciembre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BERENICE FONSECA CRIOLLO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12 No. 22-24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40-15-8738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131231231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20 de diciembre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