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20 de diciembre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JEIDER ORLANDO MEDINA GARZON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4  No.4-65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LA PALMA, CUNDINAMARCA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01690-2022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02429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18 de octubre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