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0238</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Andres Felipe Garcia Moreno.</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objeto de la solictud</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2024-09-30, en Yopal Casanare.</w:t>
      </w:r>
    </w:p>
    <w:p>
      <w:pPr>
        <w:pStyle w:val="Normal"/>
        <w:jc w:val="both"/>
        <w:rPr>
          <w:rFonts w:ascii="Arial" w:hAnsi="Arial" w:eastAsia="Calibri" w:cs="Arial"/>
          <w:b/>
          <w:b/>
          <w:sz w:val="20"/>
          <w:szCs w:val="20"/>
        </w:rPr>
      </w:pPr>
      <w:r>
        <w:rPr>
          <w:rFonts w:eastAsia="Calibri" w:cs="Arial" w:ascii="Arial" w:hAnsi="Arial"/>
          <w:b/>
          <w:sz w:val="20"/>
          <w:szCs w:val="20"/>
        </w:rPr>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PROFESIONAL ESPECIALIZADO delegado de las funciones de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