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2024-09-26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6"/>
        <w:gridCol w:w="2664"/>
        <w:gridCol w:w="5185"/>
      </w:tblGrid>
      <w:tr>
        <w:trPr/>
        <w:tc>
          <w:tcPr>
            <w:tcW w:w="1976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4"/>
        <w:gridCol w:w="3737"/>
        <w:gridCol w:w="3665"/>
      </w:tblGrid>
      <w:tr>
        <w:trPr>
          <w:trHeight w:val="567" w:hRule="atLeast"/>
        </w:trPr>
        <w:tc>
          <w:tcPr>
            <w:tcW w:w="237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0</w:t>
            </w:r>
          </w:p>
        </w:tc>
        <w:tc>
          <w:tcPr>
            <w:tcW w:w="3665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31/07/2024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 - 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Un  (1) Año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"/>
        <w:gridCol w:w="3222"/>
        <w:gridCol w:w="6552"/>
      </w:tblGrid>
      <w:tr>
        <w:trPr>
          <w:trHeight w:val="567" w:hRule="atLeast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2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bookmarkStart w:id="3" w:name="_Hlk14810607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2"/>
            <w:bookmarkEnd w:id="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7"/>
        <w:gridCol w:w="1932"/>
        <w:gridCol w:w="3031"/>
        <w:gridCol w:w="1278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5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$150.000,00, incluido impuestos de ley y costos derivados de la ejecución del contrato.</w:t>
            </w:r>
            <w:bookmarkEnd w:id="5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2.1.1.01.01.001.01.01-2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SUELDO BASICO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$150.000,00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7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5"/>
        <w:gridCol w:w="2024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7"/>
            <w:bookmarkEnd w:id="8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7"/>
            <w:bookmarkEnd w:id="8"/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9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9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0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1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1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2"/>
        <w:gridCol w:w="2819"/>
        <w:gridCol w:w="2658"/>
        <w:gridCol w:w="1416"/>
      </w:tblGrid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  <w:bookmarkEnd w:id="12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13" w:name="_Hlk151646261"/>
            <w:bookmarkStart w:id="14" w:name="_Hlk151646261"/>
            <w:bookmarkEnd w:id="14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${firmajefebancoproyectoep}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${firmajefedependenciaep}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RECTOR(A)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${firmajefejuridicoep}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${firmajefevicerrectoriaep}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15" w:name="_Hlk162087596"/>
      <w:bookmarkStart w:id="16" w:name="_Hlk1516462611"/>
      <w:bookmarkEnd w:id="16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2024-00283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objeto” y plazo de Un  (1) Año</w:t>
      </w:r>
      <w:bookmarkEnd w:id="15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2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2024-00283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LibreOffice/7.3.7.2$Linux_X86_64 LibreOffice_project/30$Build-2</Application>
  <AppVersion>15.0000</AppVersion>
  <Pages>4</Pages>
  <Words>501</Words>
  <Characters>4117</Characters>
  <CharactersWithSpaces>4528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2024-09-26T08:56:57Z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