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${consecutivosf}</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w:t>
      </w:r>
      <w:r>
        <w:rPr>
          <w:rFonts w:eastAsia="Calibri" w:cs="Arial" w:ascii="Arial" w:hAnsi="Arial"/>
          <w:sz w:val="20"/>
          <w:szCs w:val="20"/>
        </w:rPr>
        <w:t>dependenciasf}.</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w:t>
      </w:r>
      <w:r>
        <w:rPr>
          <w:rFonts w:cs="Arial" w:ascii="Arial" w:hAnsi="Arial"/>
          <w:color w:val="222222"/>
          <w:sz w:val="20"/>
          <w:szCs w:val="20"/>
          <w:shd w:fill="FFFFFF" w:val="clear"/>
        </w:rPr>
        <w:t>responsablesf}.</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${objetosf}</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${valorsf}.</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${tablaimputacionpresupuestalsf}</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${fuentesf}</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${nombrerubrosf}</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${valorrubrosf}</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${fecharespuestasf}, en Yopal Casanare.</w:t>
      </w:r>
    </w:p>
    <w:p>
      <w:pPr>
        <w:pStyle w:val="Normal"/>
        <w:jc w:val="both"/>
        <w:rPr>
          <w:rFonts w:ascii="Arial" w:hAnsi="Arial" w:eastAsia="Calibri" w:cs="Arial"/>
          <w:b/>
          <w:b/>
          <w:sz w:val="20"/>
          <w:szCs w:val="20"/>
        </w:rPr>
      </w:pPr>
      <w:r>
        <w:rPr>
          <w:rFonts w:eastAsia="Calibri" w:cs="Arial" w:ascii="Arial" w:hAnsi="Arial"/>
          <w:b/>
          <w:sz w:val="20"/>
          <w:szCs w:val="20"/>
        </w:rPr>
        <w:t>${qrimagen}</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${firmajefedependenciacf}</w:t>
      </w:r>
    </w:p>
    <w:p>
      <w:pPr>
        <w:pStyle w:val="Normal"/>
        <w:rPr>
          <w:rFonts w:ascii="Arial" w:hAnsi="Arial" w:eastAsia="Calibri" w:cs="Arial"/>
          <w:b/>
          <w:b/>
          <w:bCs/>
          <w:sz w:val="20"/>
          <w:szCs w:val="20"/>
        </w:rPr>
      </w:pPr>
      <w:r>
        <w:rPr>
          <w:rFonts w:eastAsia="Calibri" w:cs="Arial" w:ascii="Arial" w:hAnsi="Arial"/>
          <w:b/>
          <w:bCs/>
          <w:sz w:val="20"/>
          <w:szCs w:val="20"/>
        </w:rPr>
        <w:t>${nombrejefedependenciacf}</w:t>
      </w:r>
    </w:p>
    <w:p>
      <w:pPr>
        <w:pStyle w:val="Normal"/>
        <w:rPr>
          <w:rFonts w:ascii="Arial" w:hAnsi="Arial" w:eastAsia="Calibri" w:cs="Arial"/>
          <w:sz w:val="18"/>
          <w:szCs w:val="18"/>
        </w:rPr>
      </w:pPr>
      <w:r>
        <w:rPr>
          <w:rFonts w:eastAsia="Calibri" w:cs="Arial" w:ascii="Arial" w:hAnsi="Arial"/>
          <w:sz w:val="18"/>
          <w:szCs w:val="18"/>
        </w:rPr>
        <w:t>${cargojefedependenciacf}</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