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${fechasolicitudpa}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${objetosolicitudfinanciera},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${tablaimputacionpresupuestalpa}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${nombrerubropa}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${fuentepa}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${cuantiapa}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${firmajefejuridica}</w:t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>${qrimagen}</w:t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${jefejuridica}</w:t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${nombrecreadorsolicitudpa} - ${cargocreadorsolicitudpa}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${nombrecreadorsolicitudpa} - ${cargocreadorsolicitudpa}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